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D424A" w14:textId="677C2589" w:rsidR="00471901" w:rsidRPr="00B30F45" w:rsidRDefault="00471901" w:rsidP="00471901">
      <w:pPr>
        <w:tabs>
          <w:tab w:val="right" w:pos="10000"/>
        </w:tabs>
        <w:spacing w:after="0"/>
        <w:rPr>
          <w:rFonts w:ascii="Arial" w:hAnsi="Arial" w:cs="Arial"/>
          <w:b/>
          <w:sz w:val="22"/>
          <w:szCs w:val="24"/>
        </w:rPr>
      </w:pPr>
      <w:bookmarkStart w:id="0" w:name="_Ref494746248"/>
      <w:r w:rsidRPr="00B30F45">
        <w:rPr>
          <w:rFonts w:ascii="Arial" w:hAnsi="Arial" w:cs="Arial"/>
          <w:b/>
          <w:sz w:val="22"/>
          <w:szCs w:val="24"/>
        </w:rPr>
        <w:t xml:space="preserve">3GPP TSG-RAN WG1 </w:t>
      </w:r>
      <w:r w:rsidR="0068027C">
        <w:rPr>
          <w:rFonts w:ascii="Arial" w:hAnsi="Arial" w:cs="Arial"/>
          <w:b/>
          <w:sz w:val="22"/>
          <w:szCs w:val="24"/>
        </w:rPr>
        <w:t>#9</w:t>
      </w:r>
      <w:r w:rsidR="00EC3438">
        <w:rPr>
          <w:rFonts w:ascii="Arial" w:hAnsi="Arial" w:cs="Arial"/>
          <w:b/>
          <w:sz w:val="22"/>
          <w:szCs w:val="24"/>
        </w:rPr>
        <w:t>7</w:t>
      </w:r>
      <w:r w:rsidRPr="00B30F45">
        <w:rPr>
          <w:rFonts w:ascii="Arial" w:hAnsi="Arial" w:cs="Arial"/>
          <w:b/>
          <w:sz w:val="22"/>
          <w:szCs w:val="24"/>
        </w:rPr>
        <w:tab/>
      </w:r>
      <w:r w:rsidR="00706F18" w:rsidRPr="00706F18">
        <w:rPr>
          <w:rFonts w:ascii="Arial" w:hAnsi="Arial" w:cs="Arial"/>
          <w:b/>
          <w:sz w:val="22"/>
          <w:szCs w:val="24"/>
        </w:rPr>
        <w:t>R1-</w:t>
      </w:r>
      <w:r w:rsidR="005C6BB5" w:rsidRPr="005C6BB5">
        <w:rPr>
          <w:rFonts w:ascii="Arial" w:hAnsi="Arial" w:cs="Arial"/>
          <w:b/>
          <w:sz w:val="22"/>
          <w:szCs w:val="24"/>
        </w:rPr>
        <w:t>1907304</w:t>
      </w:r>
    </w:p>
    <w:p w14:paraId="7A250CD0" w14:textId="73E66CFF" w:rsidR="00471901" w:rsidRPr="00B30F45" w:rsidRDefault="00C11D58" w:rsidP="00471901">
      <w:pPr>
        <w:pStyle w:val="Footer"/>
        <w:jc w:val="both"/>
        <w:rPr>
          <w:rFonts w:cs="Arial"/>
          <w:i w:val="0"/>
          <w:sz w:val="24"/>
          <w:szCs w:val="24"/>
        </w:rPr>
      </w:pPr>
      <w:r>
        <w:rPr>
          <w:rFonts w:cs="Arial"/>
          <w:i w:val="0"/>
          <w:sz w:val="22"/>
          <w:szCs w:val="24"/>
        </w:rPr>
        <w:t>Reno</w:t>
      </w:r>
      <w:r w:rsidR="00831613" w:rsidRPr="005118ED">
        <w:rPr>
          <w:rFonts w:cs="Arial"/>
          <w:i w:val="0"/>
          <w:sz w:val="22"/>
          <w:szCs w:val="24"/>
        </w:rPr>
        <w:t xml:space="preserve">, </w:t>
      </w:r>
      <w:r w:rsidR="007A172D">
        <w:rPr>
          <w:rFonts w:cs="Arial"/>
          <w:i w:val="0"/>
          <w:sz w:val="22"/>
          <w:szCs w:val="24"/>
        </w:rPr>
        <w:t xml:space="preserve">USA, </w:t>
      </w:r>
      <w:r w:rsidR="002C7775">
        <w:rPr>
          <w:rFonts w:cs="Arial"/>
          <w:i w:val="0"/>
          <w:sz w:val="22"/>
          <w:szCs w:val="24"/>
        </w:rPr>
        <w:t>13</w:t>
      </w:r>
      <w:r w:rsidR="00DB5736">
        <w:rPr>
          <w:rFonts w:cs="Arial"/>
          <w:i w:val="0"/>
          <w:sz w:val="22"/>
          <w:szCs w:val="24"/>
          <w:vertAlign w:val="superscript"/>
        </w:rPr>
        <w:t>th</w:t>
      </w:r>
      <w:r w:rsidR="00831613">
        <w:rPr>
          <w:rFonts w:cs="Arial"/>
          <w:i w:val="0"/>
          <w:sz w:val="22"/>
          <w:szCs w:val="24"/>
        </w:rPr>
        <w:t xml:space="preserve"> </w:t>
      </w:r>
      <w:r w:rsidR="00831613" w:rsidRPr="005118ED">
        <w:rPr>
          <w:rFonts w:cs="Arial"/>
          <w:i w:val="0"/>
          <w:sz w:val="22"/>
          <w:szCs w:val="24"/>
        </w:rPr>
        <w:t>– 1</w:t>
      </w:r>
      <w:r w:rsidR="002C7775">
        <w:rPr>
          <w:rFonts w:cs="Arial"/>
          <w:i w:val="0"/>
          <w:sz w:val="22"/>
          <w:szCs w:val="24"/>
        </w:rPr>
        <w:t>7</w:t>
      </w:r>
      <w:r w:rsidR="00831613" w:rsidRPr="005118ED">
        <w:rPr>
          <w:rFonts w:cs="Arial"/>
          <w:i w:val="0"/>
          <w:sz w:val="22"/>
          <w:szCs w:val="24"/>
          <w:vertAlign w:val="superscript"/>
        </w:rPr>
        <w:t>th</w:t>
      </w:r>
      <w:r w:rsidR="00831613">
        <w:rPr>
          <w:rFonts w:cs="Arial"/>
          <w:i w:val="0"/>
          <w:sz w:val="22"/>
          <w:szCs w:val="24"/>
        </w:rPr>
        <w:t xml:space="preserve"> </w:t>
      </w:r>
      <w:r w:rsidR="002C7775">
        <w:rPr>
          <w:rFonts w:cs="Arial"/>
          <w:i w:val="0"/>
          <w:sz w:val="22"/>
          <w:szCs w:val="24"/>
        </w:rPr>
        <w:t>May</w:t>
      </w:r>
      <w:r w:rsidR="00831613" w:rsidRPr="005118ED">
        <w:rPr>
          <w:rFonts w:cs="Arial"/>
          <w:i w:val="0"/>
          <w:sz w:val="22"/>
          <w:szCs w:val="24"/>
        </w:rPr>
        <w:t>, 2019</w:t>
      </w:r>
    </w:p>
    <w:p w14:paraId="7A697208" w14:textId="77777777" w:rsidR="00471901" w:rsidRPr="00B30F45" w:rsidRDefault="00471901" w:rsidP="00471901">
      <w:pPr>
        <w:pStyle w:val="Footer"/>
        <w:jc w:val="both"/>
        <w:rPr>
          <w:noProof w:val="0"/>
          <w:sz w:val="16"/>
        </w:rPr>
      </w:pPr>
    </w:p>
    <w:p w14:paraId="5A36CDBF" w14:textId="75B00241"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7.</w:t>
      </w:r>
      <w:r w:rsidR="00471901">
        <w:rPr>
          <w:rFonts w:ascii="Arial" w:hAnsi="Arial"/>
          <w:sz w:val="24"/>
        </w:rPr>
        <w:t>2.13.2</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163B07F7"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71901">
        <w:rPr>
          <w:rFonts w:ascii="Arial" w:hAnsi="Arial"/>
          <w:sz w:val="24"/>
        </w:rPr>
        <w:t>Cross-Carrier Scheduling with Different Numerologies</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bookmarkEnd w:id="0"/>
    <w:p w14:paraId="5F9B6AB3" w14:textId="12232C9A" w:rsidR="00E4038C" w:rsidRDefault="006F65F9" w:rsidP="00E4038C">
      <w:pPr>
        <w:pStyle w:val="Heading1"/>
        <w:textAlignment w:val="auto"/>
      </w:pPr>
      <w:r>
        <w:t>Background</w:t>
      </w:r>
    </w:p>
    <w:p w14:paraId="0CB362A1" w14:textId="77777777" w:rsidR="006F65F9" w:rsidRDefault="006F65F9" w:rsidP="006F65F9">
      <w:pPr>
        <w:jc w:val="both"/>
        <w:rPr>
          <w:rFonts w:asciiTheme="majorBidi" w:hAnsiTheme="majorBidi" w:cstheme="majorBidi"/>
          <w:bCs/>
          <w:iCs/>
        </w:rPr>
      </w:pPr>
      <w:r>
        <w:rPr>
          <w:rFonts w:asciiTheme="majorBidi" w:hAnsiTheme="majorBidi" w:cstheme="majorBidi"/>
          <w:bCs/>
          <w:iCs/>
        </w:rPr>
        <w:t>In RAN-P #81, the work item on multi-RAT dual-connectivity and carrier aggregation enhancements was approved. One of the objectives of this work item is to devise schemes for allowing cross-carrier scheduling with different numerologies as follows:</w:t>
      </w:r>
    </w:p>
    <w:p w14:paraId="58DB718F" w14:textId="77777777" w:rsidR="006F65F9" w:rsidRPr="00C1591B" w:rsidRDefault="006F65F9" w:rsidP="006F65F9">
      <w:pPr>
        <w:pStyle w:val="ListParagraph"/>
        <w:numPr>
          <w:ilvl w:val="0"/>
          <w:numId w:val="60"/>
        </w:numPr>
        <w:spacing w:after="0"/>
        <w:jc w:val="both"/>
        <w:rPr>
          <w:bCs/>
        </w:rPr>
      </w:pPr>
      <w:r w:rsidRPr="00C1591B">
        <w:rPr>
          <w:b/>
          <w:bCs/>
        </w:rPr>
        <w:t>Cross-carrier scheduling with different numerologies</w:t>
      </w:r>
      <w:r w:rsidRPr="00C1591B">
        <w:rPr>
          <w:bCs/>
        </w:rPr>
        <w:t xml:space="preserve"> on the scheduling and scheduled carriers [RAN1, RAN2, RAN4]</w:t>
      </w:r>
    </w:p>
    <w:p w14:paraId="75A06831" w14:textId="77777777" w:rsidR="006F65F9" w:rsidRDefault="006F65F9" w:rsidP="006F65F9">
      <w:pPr>
        <w:numPr>
          <w:ilvl w:val="1"/>
          <w:numId w:val="59"/>
        </w:numPr>
        <w:spacing w:after="0"/>
        <w:jc w:val="both"/>
        <w:rPr>
          <w:bCs/>
        </w:rPr>
      </w:pPr>
      <w:r>
        <w:rPr>
          <w:bCs/>
        </w:rPr>
        <w:t>This objective applies to CA only.</w:t>
      </w:r>
    </w:p>
    <w:p w14:paraId="25CA1990" w14:textId="77777777" w:rsidR="006F65F9" w:rsidRDefault="006F65F9" w:rsidP="006F65F9">
      <w:pPr>
        <w:numPr>
          <w:ilvl w:val="1"/>
          <w:numId w:val="59"/>
        </w:numPr>
        <w:spacing w:after="0"/>
        <w:jc w:val="both"/>
        <w:rPr>
          <w:bCs/>
        </w:rPr>
      </w:pPr>
      <w:r>
        <w:rPr>
          <w:bCs/>
        </w:rPr>
        <w:t>Target completion by RAN#84.</w:t>
      </w:r>
    </w:p>
    <w:p w14:paraId="3B971C13" w14:textId="77777777" w:rsidR="006F65F9" w:rsidRDefault="006F65F9" w:rsidP="00501420">
      <w:pPr>
        <w:tabs>
          <w:tab w:val="left" w:pos="720"/>
        </w:tabs>
        <w:overflowPunct/>
        <w:autoSpaceDE/>
        <w:autoSpaceDN/>
        <w:adjustRightInd/>
        <w:spacing w:before="240" w:after="120"/>
        <w:textAlignment w:val="auto"/>
      </w:pPr>
      <w:r>
        <w:t>In RAN1 AH1901, the following conclusions regarding cross-carrier scheduling with different numerologies were made:</w:t>
      </w:r>
    </w:p>
    <w:p w14:paraId="2F1CCCFC" w14:textId="77777777" w:rsidR="006F65F9" w:rsidRPr="00377162" w:rsidRDefault="006F65F9" w:rsidP="006F65F9">
      <w:pPr>
        <w:rPr>
          <w:b/>
        </w:rPr>
      </w:pPr>
      <w:r w:rsidRPr="00377162">
        <w:rPr>
          <w:b/>
          <w:u w:val="single"/>
        </w:rPr>
        <w:t>Conclusion</w:t>
      </w:r>
      <w:r w:rsidRPr="00377162">
        <w:rPr>
          <w:b/>
        </w:rPr>
        <w:t>:</w:t>
      </w:r>
    </w:p>
    <w:p w14:paraId="7EF0AF58" w14:textId="77777777" w:rsidR="006F65F9" w:rsidRPr="00377162" w:rsidRDefault="006F65F9" w:rsidP="006F65F9">
      <w:r w:rsidRPr="00377162">
        <w:t>All the following 4 cases can be considered further, while there was yet no consensus if all the cases will be eventually specified. To be discussed further after work on solutions has progressed.</w:t>
      </w:r>
    </w:p>
    <w:p w14:paraId="7283ADF7" w14:textId="77777777" w:rsidR="006F65F9" w:rsidRPr="00377162" w:rsidRDefault="006F65F9" w:rsidP="006F65F9">
      <w:pPr>
        <w:pStyle w:val="ListParagraph"/>
        <w:numPr>
          <w:ilvl w:val="0"/>
          <w:numId w:val="61"/>
        </w:numPr>
        <w:spacing w:after="0"/>
        <w:contextualSpacing/>
        <w:rPr>
          <w:szCs w:val="20"/>
          <w:lang w:val="en-US"/>
        </w:rPr>
      </w:pPr>
      <w:r w:rsidRPr="00377162">
        <w:rPr>
          <w:szCs w:val="20"/>
          <w:lang w:val="en-US"/>
        </w:rPr>
        <w:t>Support scheduling cell of lower SCS and scheduled cell of higher SCS downlink</w:t>
      </w:r>
    </w:p>
    <w:p w14:paraId="40B5C541" w14:textId="77777777" w:rsidR="006F65F9" w:rsidRPr="00377162" w:rsidRDefault="006F65F9" w:rsidP="006F65F9">
      <w:pPr>
        <w:pStyle w:val="ListParagraph"/>
        <w:numPr>
          <w:ilvl w:val="0"/>
          <w:numId w:val="61"/>
        </w:numPr>
        <w:spacing w:after="0"/>
        <w:contextualSpacing/>
        <w:rPr>
          <w:szCs w:val="20"/>
          <w:lang w:val="en-US"/>
        </w:rPr>
      </w:pPr>
      <w:r w:rsidRPr="00377162">
        <w:rPr>
          <w:szCs w:val="20"/>
          <w:lang w:val="en-US"/>
        </w:rPr>
        <w:t>Support scheduling cell of lower SCS and scheduled cell of higher SCS uplink</w:t>
      </w:r>
    </w:p>
    <w:p w14:paraId="185D3771" w14:textId="77777777" w:rsidR="006F65F9" w:rsidRPr="00377162" w:rsidRDefault="006F65F9" w:rsidP="006F65F9">
      <w:pPr>
        <w:pStyle w:val="ListParagraph"/>
        <w:numPr>
          <w:ilvl w:val="0"/>
          <w:numId w:val="61"/>
        </w:numPr>
        <w:spacing w:after="0"/>
        <w:contextualSpacing/>
        <w:rPr>
          <w:szCs w:val="20"/>
          <w:lang w:val="en-US"/>
        </w:rPr>
      </w:pPr>
      <w:r w:rsidRPr="00377162">
        <w:rPr>
          <w:szCs w:val="20"/>
          <w:lang w:val="en-US"/>
        </w:rPr>
        <w:t>Support scheduling cell of higher SCS and scheduled cell of lower SCS downlink</w:t>
      </w:r>
    </w:p>
    <w:p w14:paraId="4B24A1F2" w14:textId="77777777" w:rsidR="006F65F9" w:rsidRPr="00377162" w:rsidRDefault="006F65F9" w:rsidP="006F65F9">
      <w:pPr>
        <w:pStyle w:val="ListParagraph"/>
        <w:numPr>
          <w:ilvl w:val="0"/>
          <w:numId w:val="61"/>
        </w:numPr>
        <w:spacing w:after="0"/>
        <w:contextualSpacing/>
        <w:rPr>
          <w:szCs w:val="20"/>
          <w:lang w:val="en-US"/>
        </w:rPr>
      </w:pPr>
      <w:r w:rsidRPr="00377162">
        <w:rPr>
          <w:szCs w:val="20"/>
          <w:lang w:val="en-US"/>
        </w:rPr>
        <w:t>Support scheduling cell of higher SCS and scheduled cell of lower SCS uplink</w:t>
      </w:r>
    </w:p>
    <w:p w14:paraId="72D44E6B" w14:textId="77777777" w:rsidR="006F65F9" w:rsidRPr="00527D1D" w:rsidRDefault="006F65F9" w:rsidP="00885574">
      <w:pPr>
        <w:spacing w:before="240"/>
        <w:rPr>
          <w:b/>
        </w:rPr>
      </w:pPr>
      <w:r w:rsidRPr="00527D1D">
        <w:rPr>
          <w:b/>
          <w:u w:val="single"/>
        </w:rPr>
        <w:t>Conclusion</w:t>
      </w:r>
      <w:r w:rsidRPr="00527D1D">
        <w:rPr>
          <w:b/>
        </w:rPr>
        <w:t>:</w:t>
      </w:r>
    </w:p>
    <w:p w14:paraId="55D14333" w14:textId="77777777" w:rsidR="006F65F9" w:rsidRPr="00527D1D" w:rsidRDefault="006F65F9" w:rsidP="006F65F9">
      <w:pPr>
        <w:ind w:left="284"/>
      </w:pPr>
      <w:r w:rsidRPr="00527D1D">
        <w:t>Study further at least the following:</w:t>
      </w:r>
    </w:p>
    <w:p w14:paraId="580BDDC2" w14:textId="77777777" w:rsidR="006F65F9" w:rsidRPr="00527D1D" w:rsidRDefault="006F65F9" w:rsidP="006F65F9">
      <w:pPr>
        <w:pStyle w:val="ListParagraph"/>
        <w:numPr>
          <w:ilvl w:val="0"/>
          <w:numId w:val="62"/>
        </w:numPr>
        <w:spacing w:after="0"/>
        <w:contextualSpacing/>
        <w:rPr>
          <w:szCs w:val="20"/>
          <w:lang w:val="en-US"/>
        </w:rPr>
      </w:pPr>
      <w:r w:rsidRPr="00527D1D">
        <w:rPr>
          <w:szCs w:val="20"/>
          <w:lang w:val="en-US"/>
        </w:rPr>
        <w:t>Determine the first possible PDSCH starting point based on the timing of the last or first symbol of the scheduling PDCCH.</w:t>
      </w:r>
    </w:p>
    <w:p w14:paraId="5A473A56" w14:textId="77777777" w:rsidR="006F65F9" w:rsidRPr="00527D1D" w:rsidRDefault="006F65F9" w:rsidP="006F65F9">
      <w:pPr>
        <w:pStyle w:val="ListParagraph"/>
        <w:numPr>
          <w:ilvl w:val="0"/>
          <w:numId w:val="62"/>
        </w:numPr>
        <w:spacing w:after="0"/>
        <w:contextualSpacing/>
        <w:rPr>
          <w:szCs w:val="20"/>
          <w:lang w:val="en-US"/>
        </w:rPr>
      </w:pPr>
      <w:r w:rsidRPr="00527D1D">
        <w:rPr>
          <w:szCs w:val="20"/>
          <w:lang w:val="en-US"/>
        </w:rPr>
        <w:t>Both Type A and Type B PDSCH allocation should be considered</w:t>
      </w:r>
    </w:p>
    <w:p w14:paraId="46377292" w14:textId="0D51A83F" w:rsidR="00706F18" w:rsidRDefault="006F65F9" w:rsidP="006F65F9">
      <w:pPr>
        <w:pStyle w:val="ListParagraph"/>
        <w:numPr>
          <w:ilvl w:val="1"/>
          <w:numId w:val="62"/>
        </w:numPr>
        <w:spacing w:after="0"/>
        <w:contextualSpacing/>
        <w:rPr>
          <w:szCs w:val="20"/>
          <w:lang w:val="en-US"/>
        </w:rPr>
      </w:pPr>
      <w:r w:rsidRPr="00527D1D">
        <w:rPr>
          <w:szCs w:val="20"/>
          <w:lang w:val="en-US"/>
        </w:rPr>
        <w:t>Consider a possibility for introducing a single solution for Type A and Type B PDSCH allocation</w:t>
      </w:r>
    </w:p>
    <w:p w14:paraId="7CD82FEC" w14:textId="02F6ED26" w:rsidR="006F65F9" w:rsidRPr="006F65F9" w:rsidRDefault="006F65F9" w:rsidP="00F62C14">
      <w:pPr>
        <w:pStyle w:val="ListParagraph"/>
        <w:numPr>
          <w:ilvl w:val="0"/>
          <w:numId w:val="62"/>
        </w:numPr>
        <w:spacing w:after="0"/>
        <w:contextualSpacing/>
      </w:pPr>
      <w:r w:rsidRPr="00527D1D">
        <w:t>PDCCH position cases 1-1, 1-2 and 2 should all be considered</w:t>
      </w:r>
    </w:p>
    <w:p w14:paraId="4739B97B" w14:textId="51C837F0" w:rsidR="0080641F" w:rsidRDefault="0080641F" w:rsidP="001E75BA">
      <w:pPr>
        <w:overflowPunct/>
        <w:autoSpaceDE/>
        <w:autoSpaceDN/>
        <w:adjustRightInd/>
        <w:spacing w:before="240" w:after="0"/>
        <w:textAlignment w:val="auto"/>
        <w:rPr>
          <w:lang w:val="en-GB"/>
        </w:rPr>
      </w:pPr>
      <w:r>
        <w:rPr>
          <w:lang w:val="en-GB"/>
        </w:rPr>
        <w:t>In RAN1 #96, the following agreements were made:</w:t>
      </w:r>
    </w:p>
    <w:p w14:paraId="445446EF" w14:textId="77777777" w:rsidR="0057720D" w:rsidRPr="00394096" w:rsidRDefault="0057720D" w:rsidP="0057720D">
      <w:pPr>
        <w:rPr>
          <w:b/>
          <w:lang w:eastAsia="x-none"/>
        </w:rPr>
      </w:pPr>
      <w:r w:rsidRPr="00394096">
        <w:rPr>
          <w:highlight w:val="green"/>
          <w:lang w:eastAsia="x-none"/>
        </w:rPr>
        <w:t>Agreements</w:t>
      </w:r>
      <w:r w:rsidRPr="00394096">
        <w:rPr>
          <w:b/>
          <w:lang w:eastAsia="x-none"/>
        </w:rPr>
        <w:t>:</w:t>
      </w:r>
    </w:p>
    <w:p w14:paraId="7032130B" w14:textId="77777777" w:rsidR="0057720D" w:rsidRPr="00394096" w:rsidRDefault="0057720D" w:rsidP="0057720D">
      <w:pPr>
        <w:numPr>
          <w:ilvl w:val="0"/>
          <w:numId w:val="65"/>
        </w:numPr>
        <w:overflowPunct/>
        <w:autoSpaceDE/>
        <w:autoSpaceDN/>
        <w:adjustRightInd/>
        <w:spacing w:after="0"/>
        <w:textAlignment w:val="auto"/>
        <w:rPr>
          <w:b/>
          <w:lang w:eastAsia="x-none"/>
        </w:rPr>
      </w:pPr>
      <w:r w:rsidRPr="00394096">
        <w:t xml:space="preserve">At least for the case of lower SCS PDCCH scheduling a higher SCS PDSCH the earliest possible starting point for the PDSCH is defined by the end of the PDCCH + </w:t>
      </w:r>
      <w:r w:rsidRPr="00394096">
        <w:sym w:font="Symbol" w:char="F044"/>
      </w:r>
    </w:p>
    <w:p w14:paraId="4C117B84" w14:textId="77777777" w:rsidR="0057720D" w:rsidRPr="00394096" w:rsidRDefault="0057720D" w:rsidP="0057720D">
      <w:pPr>
        <w:numPr>
          <w:ilvl w:val="1"/>
          <w:numId w:val="65"/>
        </w:numPr>
        <w:overflowPunct/>
        <w:autoSpaceDE/>
        <w:autoSpaceDN/>
        <w:adjustRightInd/>
        <w:spacing w:after="0"/>
        <w:textAlignment w:val="auto"/>
        <w:rPr>
          <w:b/>
          <w:lang w:eastAsia="x-none"/>
        </w:rPr>
      </w:pPr>
      <w:r w:rsidRPr="00394096">
        <w:t xml:space="preserve"> </w:t>
      </w:r>
      <w:r w:rsidRPr="00394096">
        <w:sym w:font="Symbol" w:char="F044"/>
      </w:r>
      <w:r w:rsidRPr="00394096">
        <w:t>&gt;0. Detailed value(s) FFS</w:t>
      </w:r>
    </w:p>
    <w:p w14:paraId="55BC4DCB" w14:textId="77777777" w:rsidR="0057720D" w:rsidRPr="00394096" w:rsidRDefault="0057720D" w:rsidP="0057720D">
      <w:pPr>
        <w:numPr>
          <w:ilvl w:val="1"/>
          <w:numId w:val="65"/>
        </w:numPr>
        <w:overflowPunct/>
        <w:autoSpaceDE/>
        <w:autoSpaceDN/>
        <w:adjustRightInd/>
        <w:spacing w:after="0"/>
        <w:textAlignment w:val="auto"/>
        <w:rPr>
          <w:b/>
          <w:lang w:eastAsia="x-none"/>
        </w:rPr>
      </w:pPr>
      <w:r w:rsidRPr="00394096">
        <w:t xml:space="preserve">FFS other factor(s) impacting </w:t>
      </w:r>
      <w:r w:rsidRPr="00394096">
        <w:sym w:font="Symbol" w:char="F044"/>
      </w:r>
    </w:p>
    <w:p w14:paraId="31CA4FA3" w14:textId="77777777" w:rsidR="0057720D" w:rsidRPr="009E5DE1" w:rsidRDefault="0057720D" w:rsidP="001E75BA">
      <w:pPr>
        <w:spacing w:before="240"/>
        <w:rPr>
          <w:lang w:eastAsia="x-none"/>
        </w:rPr>
      </w:pPr>
      <w:r w:rsidRPr="009E5DE1">
        <w:rPr>
          <w:highlight w:val="green"/>
          <w:lang w:eastAsia="x-none"/>
        </w:rPr>
        <w:t>Agreements</w:t>
      </w:r>
      <w:r w:rsidRPr="009E5DE1">
        <w:rPr>
          <w:lang w:eastAsia="x-none"/>
        </w:rPr>
        <w:t>:</w:t>
      </w:r>
    </w:p>
    <w:p w14:paraId="3D2DDB49" w14:textId="77777777" w:rsidR="00F80E33" w:rsidRDefault="0057720D" w:rsidP="0057720D">
      <w:pPr>
        <w:numPr>
          <w:ilvl w:val="0"/>
          <w:numId w:val="65"/>
        </w:numPr>
        <w:overflowPunct/>
        <w:autoSpaceDE/>
        <w:autoSpaceDN/>
        <w:adjustRightInd/>
        <w:spacing w:after="0"/>
        <w:textAlignment w:val="auto"/>
      </w:pPr>
      <w:r w:rsidRPr="009E5DE1">
        <w:t>The limit of BDs/CCEs (per slot in the scheduling CC) for the scheduled CC is determined based on the numerology of the scheduling CC.</w:t>
      </w:r>
    </w:p>
    <w:p w14:paraId="0916C643" w14:textId="37385003" w:rsidR="0080641F" w:rsidRDefault="0057720D" w:rsidP="00621BDD">
      <w:pPr>
        <w:numPr>
          <w:ilvl w:val="1"/>
          <w:numId w:val="65"/>
        </w:numPr>
        <w:overflowPunct/>
        <w:autoSpaceDE/>
        <w:autoSpaceDN/>
        <w:adjustRightInd/>
        <w:spacing w:after="0"/>
        <w:textAlignment w:val="auto"/>
      </w:pPr>
      <w:r w:rsidRPr="009E5DE1">
        <w:rPr>
          <w:rFonts w:hint="eastAsia"/>
        </w:rPr>
        <w:t>C</w:t>
      </w:r>
      <w:r w:rsidRPr="009E5DE1">
        <w:t xml:space="preserve">hange the definition of </w:t>
      </w:r>
      <w:r w:rsidRPr="009E5DE1">
        <w:fldChar w:fldCharType="begin"/>
      </w:r>
      <w:r w:rsidRPr="009E5DE1">
        <w:instrText xml:space="preserve"> QUOTE </w:instrText>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instrText xml:space="preserve"> </w:instrText>
      </w:r>
      <w:r w:rsidRPr="009E5DE1">
        <w:fldChar w:fldCharType="separate"/>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fldChar w:fldCharType="end"/>
      </w:r>
      <w:r w:rsidRPr="009E5DE1">
        <w:t xml:space="preserve">to “the number of configured DL-CCs whose scheduling cell is with active DL BWP having SCS configuration </w:t>
      </w:r>
      <w:r w:rsidRPr="009E5DE1">
        <w:sym w:font="Symbol" w:char="F06D"/>
      </w:r>
      <w:r w:rsidRPr="009E5DE1">
        <w:t>” as in Section 10.1 of 38.213</w:t>
      </w:r>
    </w:p>
    <w:p w14:paraId="2DAD14AB" w14:textId="18151B61" w:rsidR="002140AB" w:rsidRPr="000A441F" w:rsidRDefault="002140AB" w:rsidP="0012243C">
      <w:pPr>
        <w:overflowPunct/>
        <w:autoSpaceDE/>
        <w:autoSpaceDN/>
        <w:adjustRightInd/>
        <w:spacing w:before="240" w:after="0"/>
        <w:textAlignment w:val="auto"/>
      </w:pPr>
      <w:r w:rsidRPr="0012243C">
        <w:rPr>
          <w:lang w:val="en-GB"/>
        </w:rPr>
        <w:t>In RAN1 #96</w:t>
      </w:r>
      <w:r>
        <w:rPr>
          <w:lang w:val="en-GB"/>
        </w:rPr>
        <w:t>bis</w:t>
      </w:r>
      <w:r w:rsidRPr="0012243C">
        <w:rPr>
          <w:lang w:val="en-GB"/>
        </w:rPr>
        <w:t>, the following agreements</w:t>
      </w:r>
      <w:r w:rsidR="004E6FA2">
        <w:rPr>
          <w:lang w:val="en-GB"/>
        </w:rPr>
        <w:t xml:space="preserve"> and conclusion</w:t>
      </w:r>
      <w:r w:rsidRPr="0012243C">
        <w:rPr>
          <w:lang w:val="en-GB"/>
        </w:rPr>
        <w:t xml:space="preserve"> were made:</w:t>
      </w:r>
    </w:p>
    <w:p w14:paraId="49246581" w14:textId="77777777" w:rsidR="00C91254" w:rsidRPr="007A1D17" w:rsidRDefault="00C91254" w:rsidP="00C91254">
      <w:pPr>
        <w:ind w:left="1440" w:hanging="1440"/>
        <w:rPr>
          <w:highlight w:val="green"/>
        </w:rPr>
      </w:pPr>
      <w:r w:rsidRPr="007A1D17">
        <w:rPr>
          <w:highlight w:val="green"/>
          <w:lang w:eastAsia="x-none"/>
        </w:rPr>
        <w:lastRenderedPageBreak/>
        <w:t>Agreements:</w:t>
      </w:r>
    </w:p>
    <w:p w14:paraId="1456EE04" w14:textId="77777777" w:rsidR="00C91254" w:rsidRPr="007A1D17" w:rsidRDefault="00C91254" w:rsidP="00C91254">
      <w:pPr>
        <w:pStyle w:val="ListParagraph"/>
        <w:numPr>
          <w:ilvl w:val="0"/>
          <w:numId w:val="77"/>
        </w:numPr>
        <w:spacing w:after="0"/>
        <w:contextualSpacing/>
        <w:rPr>
          <w:szCs w:val="20"/>
          <w:lang w:val="en-US"/>
        </w:rPr>
      </w:pPr>
      <w:r w:rsidRPr="007A1D17">
        <w:rPr>
          <w:szCs w:val="20"/>
          <w:lang w:val="en-US"/>
        </w:rPr>
        <w:t>For case 1-1 scheduling (PDCCH in the beginning of the slot), when a lower SCS PDCCH schedules a higher SCS PDSCH:</w:t>
      </w:r>
    </w:p>
    <w:p w14:paraId="65F5D55C" w14:textId="77777777" w:rsidR="00C91254" w:rsidRPr="007A1D17" w:rsidRDefault="00C91254" w:rsidP="00C91254">
      <w:pPr>
        <w:pStyle w:val="ListParagraph"/>
        <w:numPr>
          <w:ilvl w:val="1"/>
          <w:numId w:val="77"/>
        </w:numPr>
        <w:spacing w:after="0"/>
        <w:contextualSpacing/>
        <w:rPr>
          <w:szCs w:val="20"/>
          <w:lang w:val="en-US"/>
        </w:rPr>
      </w:pPr>
      <w:r w:rsidRPr="007A1D17">
        <w:rPr>
          <w:szCs w:val="20"/>
          <w:lang w:val="en-US"/>
        </w:rPr>
        <w:t xml:space="preserve">The </w:t>
      </w:r>
      <w:r w:rsidRPr="007A1D17">
        <w:rPr>
          <w:szCs w:val="20"/>
        </w:rPr>
        <w:sym w:font="Symbol" w:char="F044"/>
      </w:r>
      <w:r w:rsidRPr="007A1D17">
        <w:rPr>
          <w:szCs w:val="20"/>
          <w:lang w:val="en-US"/>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51C30C21" w14:textId="77777777" w:rsidR="00C91254" w:rsidRPr="00BA5FF0" w:rsidRDefault="00C91254" w:rsidP="00C91254">
      <w:pPr>
        <w:rPr>
          <w:b/>
        </w:rPr>
      </w:pPr>
      <w:r w:rsidRPr="00BA5FF0">
        <w:rPr>
          <w:highlight w:val="green"/>
        </w:rPr>
        <w:t>Agreements</w:t>
      </w:r>
      <w:r w:rsidRPr="00BA5FF0">
        <w:rPr>
          <w:b/>
        </w:rPr>
        <w:t>:</w:t>
      </w:r>
    </w:p>
    <w:p w14:paraId="42B529C7" w14:textId="77777777" w:rsidR="00C91254" w:rsidRPr="00BA5FF0" w:rsidRDefault="00C91254" w:rsidP="00C91254">
      <w:pPr>
        <w:ind w:left="284"/>
      </w:pPr>
      <w:r w:rsidRPr="00BA5FF0">
        <w:t>Regarding PDSCH-to-HARQ-ACK minimum allowed timing under cross-carrier scheduling with different numerologies:</w:t>
      </w:r>
    </w:p>
    <w:p w14:paraId="3B107E53" w14:textId="77777777" w:rsidR="00C91254" w:rsidRPr="00BA5FF0" w:rsidRDefault="00C91254" w:rsidP="00C91254">
      <w:pPr>
        <w:pStyle w:val="ListParagraph"/>
        <w:numPr>
          <w:ilvl w:val="0"/>
          <w:numId w:val="78"/>
        </w:numPr>
        <w:spacing w:after="0"/>
        <w:contextualSpacing/>
        <w:rPr>
          <w:szCs w:val="20"/>
          <w:lang w:val="en-US"/>
        </w:rPr>
      </w:pPr>
      <w:r w:rsidRPr="00BA5FF0">
        <w:rPr>
          <w:szCs w:val="20"/>
          <w:lang w:val="en-US"/>
        </w:rPr>
        <w:t xml:space="preserve">Use the Rel-15 specification without changes </w:t>
      </w:r>
    </w:p>
    <w:p w14:paraId="02CB177D" w14:textId="77777777" w:rsidR="00C91254" w:rsidRPr="00373EE1" w:rsidRDefault="00C91254" w:rsidP="0012243C">
      <w:pPr>
        <w:pStyle w:val="ListParagraph"/>
        <w:numPr>
          <w:ilvl w:val="0"/>
          <w:numId w:val="0"/>
        </w:numPr>
        <w:contextualSpacing/>
        <w:rPr>
          <w:szCs w:val="20"/>
          <w:lang w:val="en-US"/>
        </w:rPr>
      </w:pPr>
      <w:r w:rsidRPr="00373EE1">
        <w:rPr>
          <w:szCs w:val="20"/>
          <w:highlight w:val="green"/>
          <w:lang w:val="en-US"/>
        </w:rPr>
        <w:t>Agreements</w:t>
      </w:r>
      <w:r w:rsidRPr="00373EE1">
        <w:rPr>
          <w:szCs w:val="20"/>
          <w:lang w:val="en-US"/>
        </w:rPr>
        <w:t>:</w:t>
      </w:r>
    </w:p>
    <w:p w14:paraId="4450C803" w14:textId="77777777" w:rsidR="00C91254" w:rsidRPr="00373EE1" w:rsidRDefault="00C91254" w:rsidP="00C91254">
      <w:pPr>
        <w:ind w:left="284"/>
      </w:pPr>
      <w:r w:rsidRPr="00373EE1">
        <w:t>Regarding PDCCH-to-PUSCH minimum allowed timing under cross-carrier scheduling with different numerologies:</w:t>
      </w:r>
    </w:p>
    <w:p w14:paraId="6A15FE5F" w14:textId="77777777" w:rsidR="00C91254" w:rsidRPr="00373EE1" w:rsidRDefault="00C91254" w:rsidP="00C91254">
      <w:pPr>
        <w:pStyle w:val="ListParagraph"/>
        <w:numPr>
          <w:ilvl w:val="0"/>
          <w:numId w:val="78"/>
        </w:numPr>
        <w:spacing w:after="0"/>
        <w:contextualSpacing/>
        <w:rPr>
          <w:szCs w:val="20"/>
          <w:lang w:val="en-US"/>
        </w:rPr>
      </w:pPr>
      <w:r w:rsidRPr="00373EE1">
        <w:rPr>
          <w:szCs w:val="20"/>
          <w:lang w:val="en-US"/>
        </w:rPr>
        <w:t xml:space="preserve">Use the Rel-15 specification without changes </w:t>
      </w:r>
    </w:p>
    <w:p w14:paraId="04922844" w14:textId="77777777" w:rsidR="00C91254" w:rsidRPr="005C5BF0" w:rsidRDefault="00C91254" w:rsidP="0012243C">
      <w:pPr>
        <w:pStyle w:val="ListParagraph"/>
        <w:numPr>
          <w:ilvl w:val="0"/>
          <w:numId w:val="0"/>
        </w:numPr>
        <w:contextualSpacing/>
        <w:rPr>
          <w:szCs w:val="20"/>
        </w:rPr>
      </w:pPr>
      <w:r w:rsidRPr="005C5BF0">
        <w:rPr>
          <w:b/>
          <w:szCs w:val="20"/>
          <w:u w:val="single"/>
        </w:rPr>
        <w:t>Conclusion</w:t>
      </w:r>
      <w:r w:rsidRPr="005C5BF0">
        <w:rPr>
          <w:szCs w:val="20"/>
        </w:rPr>
        <w:t>:</w:t>
      </w:r>
    </w:p>
    <w:p w14:paraId="761F6A3A" w14:textId="77777777" w:rsidR="00C91254" w:rsidRPr="005C5BF0" w:rsidRDefault="00C91254" w:rsidP="00C91254">
      <w:pPr>
        <w:pStyle w:val="ListParagraph"/>
        <w:numPr>
          <w:ilvl w:val="0"/>
          <w:numId w:val="79"/>
        </w:numPr>
        <w:spacing w:after="0"/>
        <w:contextualSpacing/>
        <w:rPr>
          <w:szCs w:val="20"/>
        </w:rPr>
      </w:pPr>
      <w:r w:rsidRPr="005C5BF0">
        <w:rPr>
          <w:szCs w:val="20"/>
        </w:rPr>
        <w:t>The PDCCH monitoring occasion determination is based on the numerology of scheduling cell in cross-carrier scheduling with different numerologies</w:t>
      </w:r>
    </w:p>
    <w:p w14:paraId="2E3B35BF" w14:textId="77777777" w:rsidR="00C91254" w:rsidRPr="005C5BF0" w:rsidRDefault="00C91254" w:rsidP="00C91254">
      <w:pPr>
        <w:pStyle w:val="ListParagraph"/>
        <w:numPr>
          <w:ilvl w:val="1"/>
          <w:numId w:val="79"/>
        </w:numPr>
        <w:spacing w:after="0"/>
        <w:contextualSpacing/>
        <w:rPr>
          <w:szCs w:val="20"/>
        </w:rPr>
      </w:pPr>
      <w:r w:rsidRPr="005C5BF0">
        <w:rPr>
          <w:szCs w:val="20"/>
        </w:rPr>
        <w:t>No spec change is intended</w:t>
      </w:r>
    </w:p>
    <w:p w14:paraId="6713B637" w14:textId="633B6AAD" w:rsidR="006F65F9" w:rsidRDefault="006F65F9" w:rsidP="00483639">
      <w:pPr>
        <w:overflowPunct/>
        <w:autoSpaceDE/>
        <w:autoSpaceDN/>
        <w:adjustRightInd/>
        <w:spacing w:before="240" w:after="0"/>
        <w:textAlignment w:val="auto"/>
      </w:pPr>
      <w:r>
        <w:rPr>
          <w:lang w:val="en-GB"/>
        </w:rPr>
        <w:t>T</w:t>
      </w:r>
      <w:r w:rsidR="008E5509">
        <w:t>he r</w:t>
      </w:r>
      <w:r w:rsidR="002F74E8">
        <w:t xml:space="preserve">emaining issues for cross-carrier scheduling </w:t>
      </w:r>
      <w:r w:rsidR="00471901">
        <w:t>for different</w:t>
      </w:r>
      <w:r w:rsidR="002F74E8">
        <w:t xml:space="preserve"> numerolog</w:t>
      </w:r>
      <w:r>
        <w:t>ies</w:t>
      </w:r>
      <w:r w:rsidR="002F74E8">
        <w:t xml:space="preserve"> will be discussed in this contribution.</w:t>
      </w:r>
    </w:p>
    <w:p w14:paraId="1E259FDE" w14:textId="59F490BA" w:rsidR="00AE5A9F" w:rsidRDefault="00AE5A9F" w:rsidP="004A450F">
      <w:pPr>
        <w:pStyle w:val="Heading1"/>
      </w:pPr>
      <w:r>
        <w:t>Discussion</w:t>
      </w:r>
    </w:p>
    <w:p w14:paraId="24FCF90C" w14:textId="46F51D37" w:rsidR="00C1401B" w:rsidRDefault="005315C9" w:rsidP="00076BEA">
      <w:pPr>
        <w:pStyle w:val="Heading2"/>
      </w:pPr>
      <w:r>
        <w:rPr>
          <w:rFonts w:cs="Arial"/>
          <w:lang w:eastAsia="zh-CN"/>
        </w:rPr>
        <w:t>∆</w:t>
      </w:r>
      <w:r w:rsidR="00517BD7">
        <w:rPr>
          <w:rFonts w:cs="Arial"/>
          <w:lang w:eastAsia="zh-CN"/>
        </w:rPr>
        <w:t xml:space="preserve"> for </w:t>
      </w:r>
      <w:r w:rsidR="000A441F">
        <w:rPr>
          <w:rFonts w:cs="Arial"/>
          <w:lang w:eastAsia="zh-CN"/>
        </w:rPr>
        <w:t xml:space="preserve">a </w:t>
      </w:r>
      <w:r w:rsidR="00517BD7">
        <w:rPr>
          <w:rFonts w:cs="Arial"/>
          <w:lang w:eastAsia="zh-CN"/>
        </w:rPr>
        <w:t xml:space="preserve">Lower SCS PDCCH Scheduling </w:t>
      </w:r>
      <w:r w:rsidR="000A441F">
        <w:rPr>
          <w:rFonts w:cs="Arial"/>
          <w:lang w:eastAsia="zh-CN"/>
        </w:rPr>
        <w:t xml:space="preserve">a </w:t>
      </w:r>
      <w:r w:rsidR="00517BD7">
        <w:rPr>
          <w:rFonts w:cs="Arial"/>
          <w:lang w:eastAsia="zh-CN"/>
        </w:rPr>
        <w:t>Higher SCS PDSCH</w:t>
      </w:r>
    </w:p>
    <w:p w14:paraId="7A02C05B" w14:textId="184C6333" w:rsidR="00F25583" w:rsidRPr="00715E3D" w:rsidRDefault="00BD50A3" w:rsidP="00540258">
      <w:pPr>
        <w:rPr>
          <w:b/>
          <w:lang w:val="en-GB"/>
        </w:rPr>
      </w:pPr>
      <w:r>
        <w:rPr>
          <w:lang w:val="en-GB"/>
        </w:rPr>
        <w:t xml:space="preserve">In </w:t>
      </w:r>
      <w:r w:rsidR="00513A89">
        <w:rPr>
          <w:lang w:val="en-GB"/>
        </w:rPr>
        <w:t xml:space="preserve">our </w:t>
      </w:r>
      <w:r>
        <w:rPr>
          <w:lang w:val="en-GB"/>
        </w:rPr>
        <w:t xml:space="preserve">contribution submitted to </w:t>
      </w:r>
      <w:r w:rsidR="00423CBF">
        <w:rPr>
          <w:lang w:val="en-GB"/>
        </w:rPr>
        <w:t>RAN1-96</w:t>
      </w:r>
      <w:r>
        <w:rPr>
          <w:lang w:val="en-GB"/>
        </w:rPr>
        <w:t>, detailed analysis on the timeline and buffering requirement was done and it is presented in the Appendix section</w:t>
      </w:r>
      <w:r w:rsidR="00DE033C">
        <w:rPr>
          <w:lang w:val="en-GB"/>
        </w:rPr>
        <w:t xml:space="preserve"> in this contribution</w:t>
      </w:r>
      <w:r>
        <w:rPr>
          <w:lang w:val="en-GB"/>
        </w:rPr>
        <w:t>. In last meeting, it was agreed that a positive time gap is needed for the case of cross-carrier scheduling with a lower SCS PDCCH scheduling a higher SCS PDSCH</w:t>
      </w:r>
      <w:r w:rsidR="00F55DC4">
        <w:rPr>
          <w:lang w:val="en-GB"/>
        </w:rPr>
        <w:t xml:space="preserve"> and the time gap is quantized to the next </w:t>
      </w:r>
      <w:r w:rsidR="00E352AB">
        <w:rPr>
          <w:lang w:val="en-GB"/>
        </w:rPr>
        <w:t>PDSCH slot boundary</w:t>
      </w:r>
      <w:r>
        <w:rPr>
          <w:lang w:val="en-GB"/>
        </w:rPr>
        <w:t>.</w:t>
      </w:r>
    </w:p>
    <w:tbl>
      <w:tblPr>
        <w:tblStyle w:val="TableGrid"/>
        <w:tblW w:w="0" w:type="auto"/>
        <w:tblLook w:val="04A0" w:firstRow="1" w:lastRow="0" w:firstColumn="1" w:lastColumn="0" w:noHBand="0" w:noVBand="1"/>
      </w:tblPr>
      <w:tblGrid>
        <w:gridCol w:w="9628"/>
      </w:tblGrid>
      <w:tr w:rsidR="00E8328B" w14:paraId="7DAE2653" w14:textId="77777777" w:rsidTr="00E8328B">
        <w:tc>
          <w:tcPr>
            <w:tcW w:w="9628" w:type="dxa"/>
          </w:tcPr>
          <w:p w14:paraId="146F0568" w14:textId="5663DC07" w:rsidR="008D1B7F" w:rsidRDefault="008D1B7F" w:rsidP="00AE2A4A">
            <w:r>
              <w:t>CC1: 15kHz, CC2: 30kHz</w:t>
            </w:r>
          </w:p>
          <w:p w14:paraId="30606923" w14:textId="3D419E82" w:rsidR="00E8328B" w:rsidRDefault="00F952AF" w:rsidP="00F952AF">
            <w:pPr>
              <w:jc w:val="center"/>
              <w:rPr>
                <w:lang w:val="en-GB"/>
              </w:rPr>
            </w:pPr>
            <w:r>
              <w:rPr>
                <w:lang w:val="en-GB"/>
              </w:rPr>
              <w:object w:dxaOrig="6514" w:dyaOrig="2798" w14:anchorId="17822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2pt;height:129.6pt" o:ole="">
                  <v:imagedata r:id="rId12" o:title=""/>
                </v:shape>
                <o:OLEObject Type="Embed" ProgID="Visio.Drawing.11" ShapeID="_x0000_i1025" DrawAspect="Content" ObjectID="_1618412632" r:id="rId13"/>
              </w:object>
            </w:r>
          </w:p>
        </w:tc>
      </w:tr>
    </w:tbl>
    <w:p w14:paraId="6EFE6C7C" w14:textId="77777777" w:rsidR="00D351CC" w:rsidRDefault="00D351CC" w:rsidP="00D351CC">
      <w:pPr>
        <w:spacing w:after="0"/>
      </w:pPr>
    </w:p>
    <w:p w14:paraId="19CA1C14" w14:textId="76106BA4" w:rsidR="00D351CC" w:rsidRPr="00310CAF" w:rsidRDefault="00D351CC" w:rsidP="00D351CC">
      <w:pPr>
        <w:spacing w:after="0"/>
      </w:pPr>
      <w:r w:rsidRPr="00310CAF">
        <w:t xml:space="preserve">Before RAN1-96b, there were two types of proposals about the determination of </w:t>
      </w:r>
      <m:oMath>
        <m:r>
          <m:rPr>
            <m:sty m:val="p"/>
          </m:rPr>
          <w:rPr>
            <w:rFonts w:ascii="Cambria Math" w:hAnsi="Cambria Math"/>
          </w:rPr>
          <m:t>Δ</m:t>
        </m:r>
      </m:oMath>
      <w:r w:rsidRPr="00310CAF">
        <w:t xml:space="preserve"> </w:t>
      </w:r>
    </w:p>
    <w:p w14:paraId="79A3DFB6" w14:textId="42B51002" w:rsidR="00D351CC" w:rsidRDefault="00D351CC" w:rsidP="00D351CC">
      <w:pPr>
        <w:pStyle w:val="ListParagraph"/>
        <w:numPr>
          <w:ilvl w:val="0"/>
          <w:numId w:val="80"/>
        </w:numPr>
        <w:spacing w:after="0"/>
        <w:contextualSpacing/>
        <w:rPr>
          <w:szCs w:val="20"/>
        </w:rPr>
      </w:pPr>
      <w:r w:rsidRPr="00992672">
        <w:rPr>
          <w:szCs w:val="20"/>
        </w:rPr>
        <w:t xml:space="preserve">UE indicates to the </w:t>
      </w:r>
      <w:proofErr w:type="spellStart"/>
      <w:r w:rsidRPr="00992672">
        <w:rPr>
          <w:szCs w:val="20"/>
        </w:rPr>
        <w:t>gNB</w:t>
      </w:r>
      <w:proofErr w:type="spellEnd"/>
      <w:r w:rsidRPr="00992672">
        <w:rPr>
          <w:szCs w:val="20"/>
        </w:rPr>
        <w:t xml:space="preserve"> the set of</w:t>
      </w:r>
      <w:r w:rsidR="009D11E5">
        <w:rPr>
          <w:szCs w:val="20"/>
        </w:rPr>
        <w:t xml:space="preserve"> supported</w:t>
      </w:r>
      <w:r w:rsidRPr="00992672">
        <w:rPr>
          <w:szCs w:val="20"/>
        </w:rPr>
        <w:t xml:space="preserve"> </w:t>
      </w:r>
      <m:oMath>
        <m:r>
          <m:rPr>
            <m:sty m:val="p"/>
          </m:rPr>
          <w:rPr>
            <w:rFonts w:ascii="Cambria Math" w:hAnsi="Cambria Math"/>
            <w:szCs w:val="20"/>
          </w:rPr>
          <m:t>Δ</m:t>
        </m:r>
      </m:oMath>
      <w:r w:rsidRPr="00992672">
        <w:rPr>
          <w:szCs w:val="20"/>
        </w:rPr>
        <w:t xml:space="preserve"> based on capability </w:t>
      </w:r>
      <w:r w:rsidR="00290658" w:rsidRPr="00992672">
        <w:rPr>
          <w:szCs w:val="20"/>
        </w:rPr>
        <w:t>signalling</w:t>
      </w:r>
    </w:p>
    <w:p w14:paraId="7706FAED" w14:textId="419166AF" w:rsidR="002A486A" w:rsidRPr="002A486A" w:rsidRDefault="00D351CC" w:rsidP="00423436">
      <w:pPr>
        <w:pStyle w:val="ListParagraph"/>
        <w:numPr>
          <w:ilvl w:val="0"/>
          <w:numId w:val="80"/>
        </w:numPr>
        <w:spacing w:after="0"/>
        <w:contextualSpacing/>
        <w:rPr>
          <w:szCs w:val="20"/>
        </w:rPr>
      </w:pPr>
      <m:oMath>
        <m:r>
          <m:rPr>
            <m:sty m:val="p"/>
          </m:rPr>
          <w:rPr>
            <w:rFonts w:ascii="Cambria Math" w:hAnsi="Cambria Math"/>
            <w:szCs w:val="20"/>
          </w:rPr>
          <m:t>Δ</m:t>
        </m:r>
      </m:oMath>
      <w:r w:rsidRPr="002A486A">
        <w:rPr>
          <w:szCs w:val="20"/>
        </w:rPr>
        <w:t xml:space="preserve"> is defined for the </w:t>
      </w:r>
      <w:r w:rsidR="00FE7F8C" w:rsidRPr="002A486A">
        <w:rPr>
          <w:szCs w:val="20"/>
        </w:rPr>
        <w:t>worst-case</w:t>
      </w:r>
      <w:r w:rsidRPr="002A486A">
        <w:rPr>
          <w:szCs w:val="20"/>
        </w:rPr>
        <w:t xml:space="preserve"> </w:t>
      </w:r>
      <w:r w:rsidR="00290658" w:rsidRPr="002A486A">
        <w:rPr>
          <w:szCs w:val="20"/>
        </w:rPr>
        <w:t>scenario</w:t>
      </w:r>
      <w:r w:rsidR="009552F5" w:rsidRPr="002A486A">
        <w:rPr>
          <w:szCs w:val="20"/>
        </w:rPr>
        <w:t xml:space="preserve"> across </w:t>
      </w:r>
      <w:r w:rsidR="004922B4">
        <w:rPr>
          <w:szCs w:val="20"/>
        </w:rPr>
        <w:t xml:space="preserve">the </w:t>
      </w:r>
      <w:r w:rsidR="009552F5" w:rsidRPr="002A486A">
        <w:rPr>
          <w:szCs w:val="20"/>
        </w:rPr>
        <w:t>PDSCH SCS and for different UE implementation</w:t>
      </w:r>
      <w:r w:rsidR="004C4C03">
        <w:rPr>
          <w:szCs w:val="20"/>
        </w:rPr>
        <w:t>s</w:t>
      </w:r>
      <w:r w:rsidRPr="002A486A">
        <w:rPr>
          <w:szCs w:val="20"/>
        </w:rPr>
        <w:t>.</w:t>
      </w:r>
    </w:p>
    <w:p w14:paraId="74482C99" w14:textId="61AAF1FF" w:rsidR="00100726" w:rsidRDefault="00100726" w:rsidP="001D2F20">
      <w:r>
        <w:rPr>
          <w:lang w:val="en-GB"/>
        </w:rPr>
        <w:t xml:space="preserve">Value of </w:t>
      </w:r>
      <m:oMath>
        <m:r>
          <m:rPr>
            <m:sty m:val="p"/>
          </m:rPr>
          <w:rPr>
            <w:rFonts w:ascii="Cambria Math" w:hAnsi="Cambria Math"/>
          </w:rPr>
          <m:t>Δ</m:t>
        </m:r>
      </m:oMath>
      <w:r>
        <w:rPr>
          <w:bCs/>
        </w:rPr>
        <w:t xml:space="preserve"> depends on multiple factors which are heavily influenced by UE implementation. Therefore, it is preferable to support determination of </w:t>
      </w:r>
      <m:oMath>
        <m:r>
          <m:rPr>
            <m:sty m:val="p"/>
          </m:rPr>
          <w:rPr>
            <w:rFonts w:ascii="Cambria Math" w:hAnsi="Cambria Math"/>
          </w:rPr>
          <m:t>Δ</m:t>
        </m:r>
      </m:oMath>
      <w:r>
        <w:rPr>
          <w:bCs/>
        </w:rPr>
        <w:t xml:space="preserve"> values based on UE capability report.</w:t>
      </w:r>
      <w:r w:rsidR="009829BF">
        <w:rPr>
          <w:bCs/>
        </w:rPr>
        <w:t xml:space="preserve"> Based on this, we proposed in our RAN1#96bis contribution </w:t>
      </w:r>
      <w:r w:rsidR="009829BF">
        <w:rPr>
          <w:bCs/>
        </w:rPr>
        <w:fldChar w:fldCharType="begin"/>
      </w:r>
      <w:r w:rsidR="009829BF">
        <w:rPr>
          <w:bCs/>
        </w:rPr>
        <w:instrText xml:space="preserve"> REF _Ref7730320 \n \h </w:instrText>
      </w:r>
      <w:r w:rsidR="009829BF">
        <w:rPr>
          <w:bCs/>
        </w:rPr>
      </w:r>
      <w:r w:rsidR="009829BF">
        <w:rPr>
          <w:bCs/>
        </w:rPr>
        <w:fldChar w:fldCharType="separate"/>
      </w:r>
      <w:r w:rsidR="009829BF">
        <w:rPr>
          <w:bCs/>
        </w:rPr>
        <w:t>[3]</w:t>
      </w:r>
      <w:r w:rsidR="009829BF">
        <w:rPr>
          <w:bCs/>
        </w:rPr>
        <w:fldChar w:fldCharType="end"/>
      </w:r>
      <w:r w:rsidR="009829BF">
        <w:rPr>
          <w:bCs/>
        </w:rPr>
        <w:t xml:space="preserve"> that </w:t>
      </w:r>
      <w:r w:rsidR="009829BF" w:rsidRPr="001D2F20">
        <w:t>f</w:t>
      </w:r>
      <w:r w:rsidRPr="001D2F20">
        <w:t xml:space="preserve">or the case of </w:t>
      </w:r>
      <w:r w:rsidRPr="0012243C">
        <w:t>a lower SCS PDCCH scheduling a higher SCS PDSCH</w:t>
      </w:r>
      <w:r w:rsidRPr="00B92B35">
        <w:t>, UE</w:t>
      </w:r>
      <w:r w:rsidRPr="001D2F20">
        <w:t xml:space="preserve"> indicates to the </w:t>
      </w:r>
      <w:proofErr w:type="spellStart"/>
      <w:r w:rsidRPr="001D2F20">
        <w:t>gNB</w:t>
      </w:r>
      <w:proofErr w:type="spellEnd"/>
      <w:r w:rsidRPr="001D2F20">
        <w:t xml:space="preserve"> the set of </w:t>
      </w:r>
      <m:oMath>
        <m:r>
          <m:rPr>
            <m:sty m:val="p"/>
          </m:rPr>
          <w:rPr>
            <w:rFonts w:ascii="Cambria Math" w:hAnsi="Cambria Math"/>
          </w:rPr>
          <m:t>Δ</m:t>
        </m:r>
      </m:oMath>
      <w:r w:rsidRPr="00B92B35">
        <w:t xml:space="preserve"> </w:t>
      </w:r>
      <w:r w:rsidR="00E07A56">
        <w:t xml:space="preserve">values </w:t>
      </w:r>
      <w:r w:rsidRPr="00B92B35">
        <w:t>based on</w:t>
      </w:r>
      <w:r w:rsidRPr="001D2F20">
        <w:t xml:space="preserve"> capability signaling. </w:t>
      </w:r>
      <w:r w:rsidR="00C440DC">
        <w:t>Besides, t</w:t>
      </w:r>
      <w:r w:rsidR="00D64D9A">
        <w:t xml:space="preserve">he minimum </w:t>
      </w:r>
      <m:oMath>
        <m:r>
          <m:rPr>
            <m:sty m:val="p"/>
          </m:rPr>
          <w:rPr>
            <w:rFonts w:ascii="Cambria Math" w:hAnsi="Cambria Math"/>
            <w:lang w:val="en-GB"/>
          </w:rPr>
          <m:t>Δ</m:t>
        </m:r>
      </m:oMath>
      <w:r w:rsidR="002A486A">
        <w:rPr>
          <w:lang w:val="en-GB"/>
        </w:rPr>
        <w:t xml:space="preserve"> </w:t>
      </w:r>
      <w:r w:rsidR="00E70B8A">
        <w:rPr>
          <w:lang w:val="en-GB"/>
        </w:rPr>
        <w:t>should be</w:t>
      </w:r>
      <w:r w:rsidR="002A486A">
        <w:rPr>
          <w:lang w:val="en-GB"/>
        </w:rPr>
        <w:t xml:space="preserve"> </w:t>
      </w:r>
      <w:r w:rsidR="00E278B0">
        <w:rPr>
          <w:lang w:val="en-GB"/>
        </w:rPr>
        <w:t>related to</w:t>
      </w:r>
      <w:r w:rsidR="002A486A">
        <w:rPr>
          <w:lang w:val="en-GB"/>
        </w:rPr>
        <w:t xml:space="preserve"> SCS of the scheduling carrier and SCS of the scheduled carrier</w:t>
      </w:r>
      <w:r w:rsidR="002A486A">
        <w:t xml:space="preserve">. </w:t>
      </w:r>
      <w:r w:rsidR="00D8153F">
        <w:t>Therefore, e</w:t>
      </w:r>
      <w:r w:rsidRPr="001D2F20">
        <w:t xml:space="preserve">ach set contains the </w:t>
      </w:r>
      <m:oMath>
        <m:r>
          <m:rPr>
            <m:sty m:val="p"/>
          </m:rPr>
          <w:rPr>
            <w:rFonts w:ascii="Cambria Math" w:hAnsi="Cambria Math"/>
          </w:rPr>
          <m:t>Δ</m:t>
        </m:r>
      </m:oMath>
      <w:r w:rsidRPr="001D2F20">
        <w:t xml:space="preserve"> values for all valid combinations of the scheduling carrier SCS and the scheduled carrier SCS.</w:t>
      </w:r>
      <w:r w:rsidR="00A857F1">
        <w:t xml:space="preserve"> </w:t>
      </w:r>
    </w:p>
    <w:p w14:paraId="7791E9FE" w14:textId="5E7F5713" w:rsidR="009A3D23" w:rsidRDefault="00A857F1" w:rsidP="00A857F1">
      <w:pPr>
        <w:spacing w:before="240"/>
      </w:pPr>
      <w:r>
        <w:lastRenderedPageBreak/>
        <w:t>In RAN1-96#bis, it was decided to take the approach</w:t>
      </w:r>
      <w:r w:rsidR="003941E4">
        <w:t xml:space="preserve"> based on the second bullet above</w:t>
      </w:r>
      <w:r w:rsidR="0026354B">
        <w:t xml:space="preserve"> </w:t>
      </w:r>
      <w:r w:rsidR="00E94C4F">
        <w:t xml:space="preserve">as the baseline solution and the optimization of </w:t>
      </w:r>
      <m:oMath>
        <m:r>
          <m:rPr>
            <m:sty m:val="p"/>
          </m:rPr>
          <w:rPr>
            <w:rFonts w:ascii="Cambria Math" w:hAnsi="Cambria Math"/>
          </w:rPr>
          <m:t>Δ</m:t>
        </m:r>
      </m:oMath>
      <w:r w:rsidR="00E94C4F">
        <w:t xml:space="preserve"> can be left for further study on UE capability report</w:t>
      </w:r>
      <w:r>
        <w:t>.</w:t>
      </w:r>
      <w:r w:rsidR="009A3D23">
        <w:t xml:space="preserve"> The </w:t>
      </w:r>
      <w:r w:rsidR="00424B16">
        <w:t xml:space="preserve">final </w:t>
      </w:r>
      <m:oMath>
        <m:r>
          <m:rPr>
            <m:sty m:val="p"/>
          </m:rPr>
          <w:rPr>
            <w:rFonts w:ascii="Cambria Math" w:hAnsi="Cambria Math"/>
          </w:rPr>
          <m:t>Δ</m:t>
        </m:r>
      </m:oMath>
      <w:r w:rsidR="00320B07">
        <w:t xml:space="preserve"> value </w:t>
      </w:r>
      <w:r w:rsidR="00CF0E4F">
        <w:t>is to</w:t>
      </w:r>
      <w:r w:rsidR="00320B07">
        <w:t xml:space="preserve"> be down</w:t>
      </w:r>
      <w:r w:rsidR="008739AE">
        <w:t>-</w:t>
      </w:r>
      <w:r w:rsidR="00320B07">
        <w:t>selected from the following table</w:t>
      </w:r>
      <w:r w:rsidR="00290EDD">
        <w:t xml:space="preserve"> for each PDCCH SCS</w:t>
      </w:r>
      <w:r w:rsidR="00320B07">
        <w:t xml:space="preserve">. </w:t>
      </w:r>
    </w:p>
    <w:p w14:paraId="33CAACA3" w14:textId="0AE1D5D1" w:rsidR="009A3D23" w:rsidRDefault="009A3D23" w:rsidP="009A3D23">
      <w:pPr>
        <w:pStyle w:val="Caption"/>
        <w:keepNext/>
        <w:jc w:val="center"/>
      </w:pPr>
      <w:r>
        <w:t xml:space="preserve">Table </w:t>
      </w:r>
      <w:fldSimple w:instr=" SEQ Table \* ARABIC ">
        <w:r>
          <w:t>1</w:t>
        </w:r>
      </w:fldSimple>
      <w:r>
        <w:t xml:space="preserve">: </w:t>
      </w:r>
      <w:r>
        <w:sym w:font="Symbol" w:char="F044"/>
      </w:r>
      <w:r>
        <w:t xml:space="preserve"> (at least) for lower SCS PDCCH scheduling a higher SCS PDSCH</w:t>
      </w:r>
    </w:p>
    <w:tbl>
      <w:tblPr>
        <w:tblStyle w:val="TableGrid"/>
        <w:tblW w:w="7371" w:type="dxa"/>
        <w:tblInd w:w="1413" w:type="dxa"/>
        <w:tblLayout w:type="fixed"/>
        <w:tblLook w:val="04A0" w:firstRow="1" w:lastRow="0" w:firstColumn="1" w:lastColumn="0" w:noHBand="0" w:noVBand="1"/>
      </w:tblPr>
      <w:tblGrid>
        <w:gridCol w:w="2268"/>
        <w:gridCol w:w="1701"/>
        <w:gridCol w:w="1701"/>
        <w:gridCol w:w="1701"/>
      </w:tblGrid>
      <w:tr w:rsidR="009A3D23" w14:paraId="296ECB8C" w14:textId="77777777" w:rsidTr="00CC23DA">
        <w:trPr>
          <w:trHeight w:val="283"/>
        </w:trPr>
        <w:tc>
          <w:tcPr>
            <w:tcW w:w="2268" w:type="dxa"/>
            <w:shd w:val="clear" w:color="auto" w:fill="BFBFBF" w:themeFill="background1" w:themeFillShade="BF"/>
          </w:tcPr>
          <w:p w14:paraId="014DAA55" w14:textId="77777777" w:rsidR="009A3D23" w:rsidRDefault="009A3D23" w:rsidP="00CC23DA">
            <w:pPr>
              <w:spacing w:after="0"/>
              <w:jc w:val="center"/>
              <w:rPr>
                <w:rFonts w:ascii="Arial" w:hAnsi="Arial" w:cs="Arial"/>
                <w:b/>
                <w:color w:val="000000"/>
                <w:sz w:val="16"/>
                <w:szCs w:val="16"/>
                <w:lang w:eastAsia="ja-JP"/>
              </w:rPr>
            </w:pPr>
            <w:r>
              <w:rPr>
                <w:rFonts w:ascii="Arial" w:hAnsi="Arial" w:cs="Arial"/>
                <w:b/>
                <w:color w:val="000000"/>
                <w:sz w:val="16"/>
                <w:szCs w:val="16"/>
                <w:lang w:eastAsia="ja-JP"/>
              </w:rPr>
              <w:t>PDCCH SCS</w:t>
            </w:r>
          </w:p>
        </w:tc>
        <w:tc>
          <w:tcPr>
            <w:tcW w:w="1701" w:type="dxa"/>
            <w:shd w:val="clear" w:color="auto" w:fill="BFBFBF" w:themeFill="background1" w:themeFillShade="BF"/>
          </w:tcPr>
          <w:p w14:paraId="1B8C2C70" w14:textId="77777777" w:rsidR="009A3D23" w:rsidRDefault="009A3D23" w:rsidP="00CC23DA">
            <w:pPr>
              <w:spacing w:after="0"/>
              <w:jc w:val="center"/>
              <w:rPr>
                <w:rFonts w:ascii="Arial" w:hAnsi="Arial" w:cs="Arial"/>
                <w:b/>
                <w:color w:val="000000"/>
                <w:sz w:val="16"/>
                <w:szCs w:val="16"/>
                <w:lang w:eastAsia="ja-JP"/>
              </w:rPr>
            </w:pPr>
            <w:r>
              <w:rPr>
                <w:rFonts w:ascii="Arial" w:hAnsi="Arial" w:cs="Arial"/>
                <w:b/>
                <w:color w:val="000000"/>
                <w:sz w:val="16"/>
                <w:szCs w:val="16"/>
                <w:lang w:eastAsia="ja-JP"/>
              </w:rPr>
              <w:t>15 kHz</w:t>
            </w:r>
          </w:p>
        </w:tc>
        <w:tc>
          <w:tcPr>
            <w:tcW w:w="1701" w:type="dxa"/>
            <w:shd w:val="clear" w:color="auto" w:fill="BFBFBF" w:themeFill="background1" w:themeFillShade="BF"/>
          </w:tcPr>
          <w:p w14:paraId="6B9188F2" w14:textId="77777777" w:rsidR="009A3D23" w:rsidRDefault="009A3D23" w:rsidP="00CC23DA">
            <w:pPr>
              <w:spacing w:after="0"/>
              <w:jc w:val="center"/>
              <w:rPr>
                <w:rFonts w:ascii="Arial" w:hAnsi="Arial" w:cs="Arial"/>
                <w:b/>
                <w:color w:val="000000"/>
                <w:sz w:val="16"/>
                <w:szCs w:val="16"/>
                <w:lang w:eastAsia="ja-JP"/>
              </w:rPr>
            </w:pPr>
            <w:r>
              <w:rPr>
                <w:rFonts w:ascii="Arial" w:hAnsi="Arial" w:cs="Arial"/>
                <w:b/>
                <w:color w:val="000000"/>
                <w:sz w:val="16"/>
                <w:szCs w:val="16"/>
                <w:lang w:eastAsia="ja-JP"/>
              </w:rPr>
              <w:t>30 kHz</w:t>
            </w:r>
          </w:p>
        </w:tc>
        <w:tc>
          <w:tcPr>
            <w:tcW w:w="1701" w:type="dxa"/>
            <w:shd w:val="clear" w:color="auto" w:fill="BFBFBF" w:themeFill="background1" w:themeFillShade="BF"/>
          </w:tcPr>
          <w:p w14:paraId="493FA376" w14:textId="77777777" w:rsidR="009A3D23" w:rsidRDefault="009A3D23" w:rsidP="00CC23DA">
            <w:pPr>
              <w:spacing w:after="0"/>
              <w:jc w:val="center"/>
              <w:rPr>
                <w:rFonts w:ascii="Arial" w:hAnsi="Arial" w:cs="Arial"/>
                <w:b/>
                <w:color w:val="000000"/>
                <w:sz w:val="16"/>
                <w:szCs w:val="16"/>
                <w:lang w:eastAsia="ja-JP"/>
              </w:rPr>
            </w:pPr>
            <w:r>
              <w:rPr>
                <w:rFonts w:ascii="Arial" w:hAnsi="Arial" w:cs="Arial"/>
                <w:b/>
                <w:color w:val="000000"/>
                <w:sz w:val="16"/>
                <w:szCs w:val="16"/>
                <w:lang w:eastAsia="ja-JP"/>
              </w:rPr>
              <w:t>60 kHz</w:t>
            </w:r>
          </w:p>
        </w:tc>
      </w:tr>
      <w:tr w:rsidR="009A3D23" w14:paraId="7ECFA6C9" w14:textId="77777777" w:rsidTr="00CC23DA">
        <w:trPr>
          <w:trHeight w:val="283"/>
        </w:trPr>
        <w:tc>
          <w:tcPr>
            <w:tcW w:w="2268" w:type="dxa"/>
            <w:shd w:val="clear" w:color="auto" w:fill="BFBFBF" w:themeFill="background1" w:themeFillShade="BF"/>
          </w:tcPr>
          <w:p w14:paraId="1A837FFF" w14:textId="77777777" w:rsidR="009A3D23" w:rsidRDefault="009A3D23" w:rsidP="00CC23DA">
            <w:pPr>
              <w:spacing w:after="0"/>
              <w:jc w:val="center"/>
              <w:rPr>
                <w:rFonts w:ascii="Arial" w:hAnsi="Arial" w:cs="Arial"/>
                <w:b/>
                <w:color w:val="000000"/>
                <w:sz w:val="16"/>
                <w:szCs w:val="16"/>
                <w:lang w:eastAsia="ja-JP"/>
              </w:rPr>
            </w:pPr>
            <w:r>
              <w:rPr>
                <w:b/>
              </w:rPr>
              <w:sym w:font="Symbol" w:char="F044"/>
            </w:r>
            <w:r>
              <w:rPr>
                <w:b/>
              </w:rPr>
              <w:t xml:space="preserve"> </w:t>
            </w:r>
            <w:r>
              <w:rPr>
                <w:rFonts w:ascii="Arial" w:hAnsi="Arial" w:cs="Arial"/>
                <w:b/>
                <w:color w:val="000000"/>
                <w:sz w:val="16"/>
                <w:szCs w:val="16"/>
                <w:lang w:eastAsia="ja-JP"/>
              </w:rPr>
              <w:t>[PDCCH symbols]</w:t>
            </w:r>
          </w:p>
        </w:tc>
        <w:tc>
          <w:tcPr>
            <w:tcW w:w="1701" w:type="dxa"/>
            <w:vAlign w:val="center"/>
          </w:tcPr>
          <w:p w14:paraId="41D20DB6" w14:textId="77777777" w:rsidR="009A3D23" w:rsidRDefault="009A3D23" w:rsidP="00CC23DA">
            <w:pPr>
              <w:spacing w:after="0"/>
              <w:jc w:val="center"/>
            </w:pPr>
            <w:r>
              <w:rPr>
                <w:rFonts w:ascii="Arial" w:hAnsi="Arial" w:cs="Arial"/>
                <w:color w:val="000000"/>
                <w:sz w:val="16"/>
                <w:szCs w:val="16"/>
                <w:lang w:eastAsia="ja-JP"/>
              </w:rPr>
              <w:t>[2-4] symbols</w:t>
            </w:r>
          </w:p>
        </w:tc>
        <w:tc>
          <w:tcPr>
            <w:tcW w:w="1701" w:type="dxa"/>
            <w:vAlign w:val="center"/>
          </w:tcPr>
          <w:p w14:paraId="3264E22C" w14:textId="77777777" w:rsidR="009A3D23" w:rsidRDefault="009A3D23" w:rsidP="00CC23DA">
            <w:pPr>
              <w:spacing w:after="0"/>
              <w:jc w:val="center"/>
            </w:pPr>
            <w:r>
              <w:rPr>
                <w:rFonts w:ascii="Arial" w:hAnsi="Arial" w:cs="Arial"/>
                <w:color w:val="000000"/>
                <w:sz w:val="16"/>
                <w:szCs w:val="16"/>
                <w:lang w:eastAsia="ja-JP"/>
              </w:rPr>
              <w:t>[4] symbols</w:t>
            </w:r>
          </w:p>
        </w:tc>
        <w:tc>
          <w:tcPr>
            <w:tcW w:w="1701" w:type="dxa"/>
            <w:vAlign w:val="center"/>
          </w:tcPr>
          <w:p w14:paraId="634590C4" w14:textId="77777777" w:rsidR="009A3D23" w:rsidRDefault="009A3D23" w:rsidP="00CC23DA">
            <w:pPr>
              <w:spacing w:after="0"/>
              <w:jc w:val="center"/>
            </w:pPr>
            <w:r>
              <w:rPr>
                <w:rFonts w:ascii="Arial" w:hAnsi="Arial" w:cs="Arial"/>
                <w:color w:val="000000"/>
                <w:sz w:val="16"/>
                <w:szCs w:val="16"/>
                <w:lang w:eastAsia="ja-JP"/>
              </w:rPr>
              <w:t>[6-8] symbols</w:t>
            </w:r>
          </w:p>
        </w:tc>
      </w:tr>
    </w:tbl>
    <w:p w14:paraId="01238A2D" w14:textId="2B6E6FCD" w:rsidR="00A857F1" w:rsidRDefault="00C6655D" w:rsidP="00A857F1">
      <w:pPr>
        <w:spacing w:before="240"/>
      </w:pPr>
      <w:r>
        <w:t>Since</w:t>
      </w:r>
      <w:r w:rsidR="00D94754">
        <w:t xml:space="preserve"> the goal is not to define the </w:t>
      </w:r>
      <w:r w:rsidR="00D603C6">
        <w:t xml:space="preserve">ultimately </w:t>
      </w:r>
      <w:r w:rsidR="00D94754">
        <w:t>optimal</w:t>
      </w:r>
      <w:r>
        <w:t xml:space="preserve"> </w:t>
      </w:r>
      <m:oMath>
        <m:r>
          <m:rPr>
            <m:sty m:val="p"/>
          </m:rPr>
          <w:rPr>
            <w:rFonts w:ascii="Cambria Math" w:hAnsi="Cambria Math"/>
          </w:rPr>
          <m:t>Δ</m:t>
        </m:r>
      </m:oMath>
      <w:r>
        <w:t xml:space="preserve"> </w:t>
      </w:r>
      <w:r w:rsidR="00D94754">
        <w:t xml:space="preserve">but to </w:t>
      </w:r>
      <w:r w:rsidR="00BE125F">
        <w:t xml:space="preserve">define a </w:t>
      </w:r>
      <w:r w:rsidR="00707643">
        <w:t>worst-case</w:t>
      </w:r>
      <w:r w:rsidR="00BE125F">
        <w:t xml:space="preserve"> value to cover</w:t>
      </w:r>
      <w:r w:rsidR="00D94754">
        <w:t xml:space="preserve"> different UE implementations</w:t>
      </w:r>
      <w:r w:rsidR="00470436">
        <w:t xml:space="preserve"> and across SCS of the scheduled carrier</w:t>
      </w:r>
      <w:r w:rsidR="00A857F1">
        <w:t xml:space="preserve">, we </w:t>
      </w:r>
      <w:r w:rsidR="005A4FEB">
        <w:t>find it necessary</w:t>
      </w:r>
      <w:r w:rsidR="00A857F1">
        <w:t xml:space="preserve"> to </w:t>
      </w:r>
      <w:r w:rsidR="005A4FEB">
        <w:t>choose</w:t>
      </w:r>
      <w:r w:rsidR="00A857F1">
        <w:t xml:space="preserve"> the largest value f</w:t>
      </w:r>
      <w:r w:rsidR="00BD6227">
        <w:t xml:space="preserve">or each column </w:t>
      </w:r>
      <w:r w:rsidR="00A857F1">
        <w:t>in the table</w:t>
      </w:r>
      <w:r w:rsidR="00BD6227" w:rsidRPr="00BD6227">
        <w:t xml:space="preserve"> </w:t>
      </w:r>
      <w:r w:rsidR="00BD6227">
        <w:t>above</w:t>
      </w:r>
      <w:r w:rsidR="003F515D">
        <w:t>,</w:t>
      </w:r>
      <w:r w:rsidR="00A857F1">
        <w:t xml:space="preserve"> </w:t>
      </w:r>
      <w:r w:rsidR="003F515D">
        <w:t>i</w:t>
      </w:r>
      <w:r w:rsidR="00A857F1">
        <w:t xml:space="preserve">.e., 4 symbols for </w:t>
      </w:r>
      <w:r w:rsidR="003F515D">
        <w:t>PDCCH SCS=</w:t>
      </w:r>
      <w:r w:rsidR="00A857F1">
        <w:t xml:space="preserve">15kHz, 4 symbols for </w:t>
      </w:r>
      <w:r w:rsidR="00D64B54">
        <w:t>PDCCH SCS=</w:t>
      </w:r>
      <w:r w:rsidR="00A857F1">
        <w:t xml:space="preserve">30kHz and 8 symbols for </w:t>
      </w:r>
      <w:r w:rsidR="00D64B54">
        <w:t>PDCCH SCS=</w:t>
      </w:r>
      <w:r w:rsidR="00A857F1">
        <w:t xml:space="preserve">60kHz. </w:t>
      </w:r>
    </w:p>
    <w:p w14:paraId="1A7BECF7" w14:textId="28F7DE9E" w:rsidR="00C6655D" w:rsidRDefault="003F515D" w:rsidP="00A857F1">
      <w:pPr>
        <w:spacing w:before="240"/>
        <w:rPr>
          <w:b/>
        </w:rPr>
      </w:pPr>
      <w:bookmarkStart w:id="1" w:name="p1"/>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733759">
        <w:rPr>
          <w:b/>
          <w:noProof/>
        </w:rPr>
        <w:t>1</w:t>
      </w:r>
      <w:r w:rsidRPr="009D1F00">
        <w:rPr>
          <w:b/>
          <w:noProof/>
        </w:rPr>
        <w:fldChar w:fldCharType="end"/>
      </w:r>
      <w:r w:rsidRPr="009D1F00">
        <w:rPr>
          <w:b/>
        </w:rPr>
        <w:t>:</w:t>
      </w:r>
      <w:r>
        <w:rPr>
          <w:b/>
        </w:rPr>
        <w:t xml:space="preserve"> </w:t>
      </w:r>
      <w:r w:rsidR="00F34981">
        <w:rPr>
          <w:b/>
        </w:rPr>
        <w:t>For PDCCH monitoring Case 1-1, f</w:t>
      </w:r>
      <w:r w:rsidRPr="009D1F00">
        <w:rPr>
          <w:b/>
        </w:rPr>
        <w:t>or the case of a lower SCS PDCCH scheduling a higher SCS PDSCH</w:t>
      </w:r>
      <w:r>
        <w:rPr>
          <w:b/>
        </w:rPr>
        <w:t xml:space="preserve">, </w:t>
      </w:r>
      <w:r w:rsidRPr="009D1F00">
        <w:rPr>
          <w:b/>
        </w:rPr>
        <w:sym w:font="Symbol" w:char="F044"/>
      </w:r>
      <w:r w:rsidRPr="009D1F00">
        <w:rPr>
          <w:b/>
        </w:rPr>
        <w:t xml:space="preserve"> values</w:t>
      </w:r>
      <w:r>
        <w:rPr>
          <w:b/>
        </w:rPr>
        <w:t xml:space="preserve"> are defined by</w:t>
      </w:r>
    </w:p>
    <w:tbl>
      <w:tblPr>
        <w:tblStyle w:val="TableGrid"/>
        <w:tblW w:w="7371" w:type="dxa"/>
        <w:tblInd w:w="1413" w:type="dxa"/>
        <w:tblLayout w:type="fixed"/>
        <w:tblLook w:val="04A0" w:firstRow="1" w:lastRow="0" w:firstColumn="1" w:lastColumn="0" w:noHBand="0" w:noVBand="1"/>
      </w:tblPr>
      <w:tblGrid>
        <w:gridCol w:w="2268"/>
        <w:gridCol w:w="1701"/>
        <w:gridCol w:w="1701"/>
        <w:gridCol w:w="1701"/>
      </w:tblGrid>
      <w:tr w:rsidR="003F515D" w14:paraId="75102942" w14:textId="77777777" w:rsidTr="00CC23DA">
        <w:trPr>
          <w:trHeight w:val="283"/>
        </w:trPr>
        <w:tc>
          <w:tcPr>
            <w:tcW w:w="2268" w:type="dxa"/>
            <w:shd w:val="clear" w:color="auto" w:fill="BFBFBF" w:themeFill="background1" w:themeFillShade="BF"/>
          </w:tcPr>
          <w:p w14:paraId="5EEEB2B9" w14:textId="77777777" w:rsidR="003F515D" w:rsidRDefault="003F515D" w:rsidP="00CC23DA">
            <w:pPr>
              <w:spacing w:after="0"/>
              <w:jc w:val="center"/>
              <w:rPr>
                <w:rFonts w:ascii="Arial" w:hAnsi="Arial" w:cs="Arial"/>
                <w:b/>
                <w:color w:val="000000"/>
                <w:sz w:val="16"/>
                <w:szCs w:val="16"/>
                <w:lang w:eastAsia="ja-JP"/>
              </w:rPr>
            </w:pPr>
            <w:r>
              <w:rPr>
                <w:rFonts w:ascii="Arial" w:hAnsi="Arial" w:cs="Arial"/>
                <w:b/>
                <w:color w:val="000000"/>
                <w:sz w:val="16"/>
                <w:szCs w:val="16"/>
                <w:lang w:eastAsia="ja-JP"/>
              </w:rPr>
              <w:t>PDCCH SCS</w:t>
            </w:r>
          </w:p>
        </w:tc>
        <w:tc>
          <w:tcPr>
            <w:tcW w:w="1701" w:type="dxa"/>
            <w:shd w:val="clear" w:color="auto" w:fill="BFBFBF" w:themeFill="background1" w:themeFillShade="BF"/>
          </w:tcPr>
          <w:p w14:paraId="064B5361" w14:textId="77777777" w:rsidR="003F515D" w:rsidRDefault="003F515D" w:rsidP="00CC23DA">
            <w:pPr>
              <w:spacing w:after="0"/>
              <w:jc w:val="center"/>
              <w:rPr>
                <w:rFonts w:ascii="Arial" w:hAnsi="Arial" w:cs="Arial"/>
                <w:b/>
                <w:color w:val="000000"/>
                <w:sz w:val="16"/>
                <w:szCs w:val="16"/>
                <w:lang w:eastAsia="ja-JP"/>
              </w:rPr>
            </w:pPr>
            <w:r>
              <w:rPr>
                <w:rFonts w:ascii="Arial" w:hAnsi="Arial" w:cs="Arial"/>
                <w:b/>
                <w:color w:val="000000"/>
                <w:sz w:val="16"/>
                <w:szCs w:val="16"/>
                <w:lang w:eastAsia="ja-JP"/>
              </w:rPr>
              <w:t>15 kHz</w:t>
            </w:r>
          </w:p>
        </w:tc>
        <w:tc>
          <w:tcPr>
            <w:tcW w:w="1701" w:type="dxa"/>
            <w:shd w:val="clear" w:color="auto" w:fill="BFBFBF" w:themeFill="background1" w:themeFillShade="BF"/>
          </w:tcPr>
          <w:p w14:paraId="12CA607F" w14:textId="77777777" w:rsidR="003F515D" w:rsidRDefault="003F515D" w:rsidP="00CC23DA">
            <w:pPr>
              <w:spacing w:after="0"/>
              <w:jc w:val="center"/>
              <w:rPr>
                <w:rFonts w:ascii="Arial" w:hAnsi="Arial" w:cs="Arial"/>
                <w:b/>
                <w:color w:val="000000"/>
                <w:sz w:val="16"/>
                <w:szCs w:val="16"/>
                <w:lang w:eastAsia="ja-JP"/>
              </w:rPr>
            </w:pPr>
            <w:r>
              <w:rPr>
                <w:rFonts w:ascii="Arial" w:hAnsi="Arial" w:cs="Arial"/>
                <w:b/>
                <w:color w:val="000000"/>
                <w:sz w:val="16"/>
                <w:szCs w:val="16"/>
                <w:lang w:eastAsia="ja-JP"/>
              </w:rPr>
              <w:t>30 kHz</w:t>
            </w:r>
          </w:p>
        </w:tc>
        <w:tc>
          <w:tcPr>
            <w:tcW w:w="1701" w:type="dxa"/>
            <w:shd w:val="clear" w:color="auto" w:fill="BFBFBF" w:themeFill="background1" w:themeFillShade="BF"/>
          </w:tcPr>
          <w:p w14:paraId="78E49AB6" w14:textId="77777777" w:rsidR="003F515D" w:rsidRDefault="003F515D" w:rsidP="00CC23DA">
            <w:pPr>
              <w:spacing w:after="0"/>
              <w:jc w:val="center"/>
              <w:rPr>
                <w:rFonts w:ascii="Arial" w:hAnsi="Arial" w:cs="Arial"/>
                <w:b/>
                <w:color w:val="000000"/>
                <w:sz w:val="16"/>
                <w:szCs w:val="16"/>
                <w:lang w:eastAsia="ja-JP"/>
              </w:rPr>
            </w:pPr>
            <w:r>
              <w:rPr>
                <w:rFonts w:ascii="Arial" w:hAnsi="Arial" w:cs="Arial"/>
                <w:b/>
                <w:color w:val="000000"/>
                <w:sz w:val="16"/>
                <w:szCs w:val="16"/>
                <w:lang w:eastAsia="ja-JP"/>
              </w:rPr>
              <w:t>60 kHz</w:t>
            </w:r>
          </w:p>
        </w:tc>
      </w:tr>
      <w:tr w:rsidR="003F515D" w14:paraId="78BBC7A9" w14:textId="77777777" w:rsidTr="00CC23DA">
        <w:trPr>
          <w:trHeight w:val="283"/>
        </w:trPr>
        <w:tc>
          <w:tcPr>
            <w:tcW w:w="2268" w:type="dxa"/>
            <w:shd w:val="clear" w:color="auto" w:fill="BFBFBF" w:themeFill="background1" w:themeFillShade="BF"/>
          </w:tcPr>
          <w:p w14:paraId="080BAD9C" w14:textId="77777777" w:rsidR="003F515D" w:rsidRDefault="003F515D" w:rsidP="00CC23DA">
            <w:pPr>
              <w:spacing w:after="0"/>
              <w:jc w:val="center"/>
              <w:rPr>
                <w:rFonts w:ascii="Arial" w:hAnsi="Arial" w:cs="Arial"/>
                <w:b/>
                <w:color w:val="000000"/>
                <w:sz w:val="16"/>
                <w:szCs w:val="16"/>
                <w:lang w:eastAsia="ja-JP"/>
              </w:rPr>
            </w:pPr>
            <w:r>
              <w:rPr>
                <w:b/>
              </w:rPr>
              <w:sym w:font="Symbol" w:char="F044"/>
            </w:r>
            <w:r>
              <w:rPr>
                <w:b/>
              </w:rPr>
              <w:t xml:space="preserve"> </w:t>
            </w:r>
            <w:r>
              <w:rPr>
                <w:rFonts w:ascii="Arial" w:hAnsi="Arial" w:cs="Arial"/>
                <w:b/>
                <w:color w:val="000000"/>
                <w:sz w:val="16"/>
                <w:szCs w:val="16"/>
                <w:lang w:eastAsia="ja-JP"/>
              </w:rPr>
              <w:t>[PDCCH symbols]</w:t>
            </w:r>
          </w:p>
        </w:tc>
        <w:tc>
          <w:tcPr>
            <w:tcW w:w="1701" w:type="dxa"/>
            <w:vAlign w:val="center"/>
          </w:tcPr>
          <w:p w14:paraId="430FEB0D" w14:textId="0FE717E2" w:rsidR="003F515D" w:rsidRPr="008513DC" w:rsidRDefault="003F515D" w:rsidP="00CC23DA">
            <w:pPr>
              <w:spacing w:after="0"/>
              <w:jc w:val="center"/>
              <w:rPr>
                <w:b/>
              </w:rPr>
            </w:pPr>
            <w:r w:rsidRPr="008513DC">
              <w:rPr>
                <w:rFonts w:ascii="Arial" w:hAnsi="Arial" w:cs="Arial"/>
                <w:b/>
                <w:color w:val="000000"/>
                <w:sz w:val="16"/>
                <w:szCs w:val="16"/>
                <w:lang w:eastAsia="ja-JP"/>
              </w:rPr>
              <w:t>4 symbols</w:t>
            </w:r>
          </w:p>
        </w:tc>
        <w:tc>
          <w:tcPr>
            <w:tcW w:w="1701" w:type="dxa"/>
            <w:vAlign w:val="center"/>
          </w:tcPr>
          <w:p w14:paraId="54B92019" w14:textId="25FCDB92" w:rsidR="003F515D" w:rsidRPr="008513DC" w:rsidRDefault="003F515D" w:rsidP="00CC23DA">
            <w:pPr>
              <w:spacing w:after="0"/>
              <w:jc w:val="center"/>
              <w:rPr>
                <w:b/>
              </w:rPr>
            </w:pPr>
            <w:r w:rsidRPr="008513DC">
              <w:rPr>
                <w:rFonts w:ascii="Arial" w:hAnsi="Arial" w:cs="Arial"/>
                <w:b/>
                <w:color w:val="000000"/>
                <w:sz w:val="16"/>
                <w:szCs w:val="16"/>
                <w:lang w:eastAsia="ja-JP"/>
              </w:rPr>
              <w:t>4 symbols</w:t>
            </w:r>
          </w:p>
        </w:tc>
        <w:tc>
          <w:tcPr>
            <w:tcW w:w="1701" w:type="dxa"/>
            <w:vAlign w:val="center"/>
          </w:tcPr>
          <w:p w14:paraId="5D1138C5" w14:textId="7F6C2A49" w:rsidR="003F515D" w:rsidRPr="008513DC" w:rsidRDefault="003F515D" w:rsidP="00CC23DA">
            <w:pPr>
              <w:spacing w:after="0"/>
              <w:jc w:val="center"/>
              <w:rPr>
                <w:b/>
              </w:rPr>
            </w:pPr>
            <w:r w:rsidRPr="008513DC">
              <w:rPr>
                <w:rFonts w:ascii="Arial" w:hAnsi="Arial" w:cs="Arial"/>
                <w:b/>
                <w:color w:val="000000"/>
                <w:sz w:val="16"/>
                <w:szCs w:val="16"/>
                <w:lang w:eastAsia="ja-JP"/>
              </w:rPr>
              <w:t>8 symbols</w:t>
            </w:r>
          </w:p>
        </w:tc>
      </w:tr>
    </w:tbl>
    <w:bookmarkEnd w:id="1"/>
    <w:p w14:paraId="0FE3D9AE" w14:textId="0A5A8F53" w:rsidR="00100726" w:rsidRDefault="00100726" w:rsidP="0012243C">
      <w:pPr>
        <w:spacing w:before="240"/>
      </w:pPr>
      <w:r>
        <w:t>Case 1-1, Case 1-2 and Case 2 PDCCH monitoring result in different scheduling timing relationship in a slot granularity. Even for the case of only a single monitoring occasion, in terms of UE implementation, Case 1-2 PDCCH monitoring or Case 2 PDCCH monitoring may not be as simple</w:t>
      </w:r>
      <w:r w:rsidDel="00C67135">
        <w:t xml:space="preserve"> </w:t>
      </w:r>
      <w:r>
        <w:t xml:space="preserve">as a symbol-shifted version of Case 1-1 PDCCH monitoring. Therefore, separate sets of </w:t>
      </w:r>
      <w:r w:rsidRPr="00124277">
        <w:sym w:font="Symbol" w:char="F044"/>
      </w:r>
      <w:r>
        <w:t xml:space="preserve"> values should be defined for Case 1-1, Case 1-2 and Case 2.</w:t>
      </w:r>
      <w:r w:rsidR="00191CD6">
        <w:t xml:space="preserve"> However, if </w:t>
      </w:r>
      <w:r w:rsidR="00191CD6" w:rsidRPr="00124277">
        <w:sym w:font="Symbol" w:char="F044"/>
      </w:r>
      <w:r w:rsidR="00191CD6">
        <w:t xml:space="preserve"> for Case 1-1 is large enough, we can also use the same </w:t>
      </w:r>
      <w:r w:rsidR="00191CD6" w:rsidRPr="00124277">
        <w:sym w:font="Symbol" w:char="F044"/>
      </w:r>
      <w:r w:rsidR="00191CD6">
        <w:t xml:space="preserve"> for Case 1-2 and Case 2.</w:t>
      </w:r>
    </w:p>
    <w:p w14:paraId="3322A893" w14:textId="3D872E73" w:rsidR="00100726" w:rsidRDefault="00100726" w:rsidP="00100726">
      <w:pPr>
        <w:tabs>
          <w:tab w:val="left" w:pos="720"/>
        </w:tabs>
        <w:overflowPunct/>
        <w:autoSpaceDE/>
        <w:autoSpaceDN/>
        <w:adjustRightInd/>
        <w:spacing w:after="120"/>
        <w:textAlignment w:val="auto"/>
        <w:rPr>
          <w:b/>
        </w:rPr>
      </w:pPr>
      <w:bookmarkStart w:id="2" w:name="p2"/>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733759">
        <w:rPr>
          <w:b/>
          <w:noProof/>
        </w:rPr>
        <w:t>2</w:t>
      </w:r>
      <w:r w:rsidRPr="009D1F00">
        <w:rPr>
          <w:b/>
          <w:noProof/>
        </w:rPr>
        <w:fldChar w:fldCharType="end"/>
      </w:r>
      <w:r w:rsidRPr="009D1F00">
        <w:rPr>
          <w:b/>
        </w:rPr>
        <w:t xml:space="preserve">: For the case of a lower SCS PDCCH scheduling a higher SCS PDSCH, </w:t>
      </w:r>
      <w:r>
        <w:rPr>
          <w:b/>
        </w:rPr>
        <w:t xml:space="preserve">different sets of </w:t>
      </w:r>
      <w:r w:rsidRPr="009D1F00">
        <w:rPr>
          <w:b/>
        </w:rPr>
        <w:sym w:font="Symbol" w:char="F044"/>
      </w:r>
      <w:r w:rsidRPr="009D1F00">
        <w:rPr>
          <w:b/>
        </w:rPr>
        <w:t xml:space="preserve"> values </w:t>
      </w:r>
      <w:r>
        <w:rPr>
          <w:b/>
        </w:rPr>
        <w:t xml:space="preserve">should be separately </w:t>
      </w:r>
      <w:r w:rsidRPr="009D1F00">
        <w:rPr>
          <w:b/>
        </w:rPr>
        <w:t xml:space="preserve">defined for </w:t>
      </w:r>
      <w:r w:rsidR="00D83658" w:rsidRPr="009D1F00">
        <w:rPr>
          <w:b/>
        </w:rPr>
        <w:t>PDCCH monitoring</w:t>
      </w:r>
      <w:r w:rsidR="00D83658">
        <w:rPr>
          <w:b/>
        </w:rPr>
        <w:t xml:space="preserve"> </w:t>
      </w:r>
      <w:r>
        <w:rPr>
          <w:b/>
        </w:rPr>
        <w:t>C</w:t>
      </w:r>
      <w:r w:rsidRPr="009D1F00">
        <w:rPr>
          <w:b/>
        </w:rPr>
        <w:t xml:space="preserve">ase 1-1, </w:t>
      </w:r>
      <w:r>
        <w:rPr>
          <w:b/>
        </w:rPr>
        <w:t>C</w:t>
      </w:r>
      <w:r w:rsidRPr="009D1F00">
        <w:rPr>
          <w:b/>
        </w:rPr>
        <w:t xml:space="preserve">ase 1-2 and </w:t>
      </w:r>
      <w:r>
        <w:rPr>
          <w:b/>
        </w:rPr>
        <w:t>C</w:t>
      </w:r>
      <w:r w:rsidRPr="009D1F00">
        <w:rPr>
          <w:b/>
        </w:rPr>
        <w:t>ase 2.</w:t>
      </w:r>
      <w:r>
        <w:rPr>
          <w:b/>
        </w:rPr>
        <w:t xml:space="preserve"> Alternatively, a worst case set of </w:t>
      </w:r>
      <w:r w:rsidRPr="009D1F00">
        <w:rPr>
          <w:b/>
        </w:rPr>
        <w:sym w:font="Symbol" w:char="F044"/>
      </w:r>
      <w:r w:rsidRPr="009D1F00">
        <w:rPr>
          <w:b/>
        </w:rPr>
        <w:t xml:space="preserve"> values</w:t>
      </w:r>
      <w:r>
        <w:rPr>
          <w:b/>
        </w:rPr>
        <w:t xml:space="preserve"> should be defined that work across all the supported PDCCH monitoring cases.</w:t>
      </w:r>
      <w:bookmarkEnd w:id="2"/>
    </w:p>
    <w:p w14:paraId="171634BC" w14:textId="321666AB" w:rsidR="00365095" w:rsidRDefault="009226EF" w:rsidP="009226EF">
      <w:pPr>
        <w:spacing w:before="240"/>
      </w:pPr>
      <w:r w:rsidRPr="009226EF">
        <w:t xml:space="preserve">Another </w:t>
      </w:r>
      <w:r>
        <w:t xml:space="preserve">issue with the lower </w:t>
      </w:r>
      <w:r w:rsidR="006234D4">
        <w:t xml:space="preserve">SCS PDCCH scheduling the higher SCS PDSCH case is that </w:t>
      </w:r>
      <w:r w:rsidR="005E5E10">
        <w:t xml:space="preserve">network may transmit </w:t>
      </w:r>
      <w:r w:rsidR="006234D4">
        <w:t>DCIs for all slots of the schedul</w:t>
      </w:r>
      <w:r w:rsidR="00707643">
        <w:t>ed cell</w:t>
      </w:r>
      <w:r w:rsidR="006234D4">
        <w:t xml:space="preserve"> in the same set of symbols</w:t>
      </w:r>
      <w:r w:rsidR="00B651C8">
        <w:t xml:space="preserve"> in the scheduling cell</w:t>
      </w:r>
      <w:r w:rsidR="006234D4">
        <w:t xml:space="preserve">. When network </w:t>
      </w:r>
      <w:r w:rsidR="000065B9">
        <w:t>does this</w:t>
      </w:r>
      <w:r w:rsidR="006234D4">
        <w:t>, the transmission and decoding</w:t>
      </w:r>
      <w:r w:rsidR="00AA617B">
        <w:t xml:space="preserve"> of these DCIs</w:t>
      </w:r>
      <w:r w:rsidR="006234D4">
        <w:t xml:space="preserve"> may </w:t>
      </w:r>
      <w:r w:rsidR="00AB59D5">
        <w:t xml:space="preserve">not </w:t>
      </w:r>
      <w:r w:rsidR="006234D4">
        <w:t xml:space="preserve">occur in the </w:t>
      </w:r>
      <w:r w:rsidR="00073E50">
        <w:t xml:space="preserve">increasing </w:t>
      </w:r>
      <w:r w:rsidR="006234D4">
        <w:t>order</w:t>
      </w:r>
      <w:r w:rsidR="00AB59D5">
        <w:t xml:space="preserve"> of the slot index of the scheduled cell.</w:t>
      </w:r>
      <w:r w:rsidR="006234D4">
        <w:t xml:space="preserve"> </w:t>
      </w:r>
      <w:r w:rsidR="00630BCA">
        <w:t xml:space="preserve">I.e., </w:t>
      </w:r>
      <w:r w:rsidR="006234D4">
        <w:t>a DCI for a later slot of the schedul</w:t>
      </w:r>
      <w:r w:rsidR="00C66DB3">
        <w:t>ed</w:t>
      </w:r>
      <w:r w:rsidR="006234D4">
        <w:t xml:space="preserve"> cell </w:t>
      </w:r>
      <w:r w:rsidR="000D5B61">
        <w:t>may be</w:t>
      </w:r>
      <w:r w:rsidR="006234D4">
        <w:t xml:space="preserve"> decoded before the DCI for an early slot of the schedul</w:t>
      </w:r>
      <w:r w:rsidR="00BA0EC1">
        <w:t>ed</w:t>
      </w:r>
      <w:r w:rsidR="006234D4">
        <w:t xml:space="preserve"> cell. In the </w:t>
      </w:r>
      <w:r w:rsidR="0046765D">
        <w:t>worst-case scenario</w:t>
      </w:r>
      <w:r w:rsidR="006234D4">
        <w:t xml:space="preserve">, the UE may decode a DCI for the last slot (e.g., slot 7 in the figure) after all DCIs for the other slots are decoded. </w:t>
      </w:r>
      <w:r w:rsidR="00AB14A9">
        <w:t xml:space="preserve">This </w:t>
      </w:r>
      <w:r w:rsidR="00DB2E68">
        <w:t xml:space="preserve">may </w:t>
      </w:r>
      <w:r w:rsidR="00AB14A9">
        <w:t xml:space="preserve">result in </w:t>
      </w:r>
      <w:r w:rsidR="00DB2E68">
        <w:t xml:space="preserve">very </w:t>
      </w:r>
      <w:r w:rsidR="00AB14A9">
        <w:t xml:space="preserve">large delay for the UE to process the </w:t>
      </w:r>
      <w:r w:rsidR="00814025">
        <w:t>first</w:t>
      </w:r>
      <w:r w:rsidR="00AB14A9">
        <w:t xml:space="preserve"> slot and</w:t>
      </w:r>
      <w:r w:rsidR="00365095">
        <w:t xml:space="preserve"> </w:t>
      </w:r>
      <w:r w:rsidR="00F2513E">
        <w:t>incurs additional UE complexity to handle the unfortunate worst case.</w:t>
      </w:r>
    </w:p>
    <w:p w14:paraId="45176E51" w14:textId="1B338A5B" w:rsidR="009226EF" w:rsidRDefault="00365095" w:rsidP="00EE6E2B">
      <w:pPr>
        <w:tabs>
          <w:tab w:val="left" w:pos="720"/>
        </w:tabs>
        <w:overflowPunct/>
        <w:autoSpaceDE/>
        <w:autoSpaceDN/>
        <w:adjustRightInd/>
        <w:spacing w:after="120"/>
        <w:textAlignment w:val="auto"/>
      </w:pPr>
      <w:r>
        <w:t>One way to avoid such a problem</w:t>
      </w:r>
      <w:r w:rsidR="005B46DB">
        <w:t xml:space="preserve"> is to distribute DCIs for slots of the scheduled cell into multiple </w:t>
      </w:r>
      <w:r w:rsidR="005E6E37">
        <w:t>control regions</w:t>
      </w:r>
      <w:r w:rsidR="005B46DB">
        <w:t xml:space="preserve"> in time</w:t>
      </w:r>
      <w:r w:rsidR="006531E9">
        <w:t xml:space="preserve"> (as shown in the bottom figure below)</w:t>
      </w:r>
      <w:r w:rsidR="00F42162">
        <w:t xml:space="preserve"> and set a maximum number of DCIs to be decoded in each </w:t>
      </w:r>
      <w:r w:rsidR="00B436A5">
        <w:t>region</w:t>
      </w:r>
      <w:r w:rsidR="005B46DB">
        <w:t>.</w:t>
      </w:r>
      <w:r w:rsidR="00F42162">
        <w:t xml:space="preserve"> In UE capability discussion, we have defined the concept of </w:t>
      </w:r>
      <w:r w:rsidR="00B9556E">
        <w:t>“</w:t>
      </w:r>
      <w:r w:rsidR="00F42162">
        <w:t>span</w:t>
      </w:r>
      <w:r w:rsidR="00B9556E">
        <w:t>”</w:t>
      </w:r>
      <w:r w:rsidR="00F42162">
        <w:t xml:space="preserve"> </w:t>
      </w:r>
      <w:r w:rsidR="00B9556E">
        <w:t>as</w:t>
      </w:r>
      <w:r w:rsidR="00F42162">
        <w:t xml:space="preserve"> </w:t>
      </w:r>
      <w:r w:rsidR="00B9556E">
        <w:t>a number of up to 3</w:t>
      </w:r>
      <w:r w:rsidR="00F42162">
        <w:t xml:space="preserve"> </w:t>
      </w:r>
      <w:r w:rsidR="00C102B9">
        <w:t>contiguous</w:t>
      </w:r>
      <w:r w:rsidR="003A3D12">
        <w:t xml:space="preserve"> </w:t>
      </w:r>
      <w:r w:rsidR="00F42162">
        <w:t xml:space="preserve">symbols for PDCCH monitoring. We can borrow this concept </w:t>
      </w:r>
      <w:r w:rsidR="006413F9">
        <w:t>for</w:t>
      </w:r>
      <w:r w:rsidR="00F42162">
        <w:t xml:space="preserve"> </w:t>
      </w:r>
      <w:r w:rsidR="00A4551E">
        <w:t>the solution of</w:t>
      </w:r>
      <w:r w:rsidR="00F42162">
        <w:t xml:space="preserve"> </w:t>
      </w:r>
      <w:r w:rsidR="00B6681F">
        <w:t>the</w:t>
      </w:r>
      <w:r w:rsidR="00F42162">
        <w:t xml:space="preserve"> problem.</w:t>
      </w:r>
      <w:r w:rsidR="00EE6E2B" w:rsidRPr="00EE6E2B">
        <w:t xml:space="preserve"> </w:t>
      </w:r>
      <w:r w:rsidR="00EE6E2B">
        <w:t xml:space="preserve">If network </w:t>
      </w:r>
      <w:r w:rsidR="00EA7584">
        <w:t>wants</w:t>
      </w:r>
      <w:r w:rsidR="00EE6E2B">
        <w:t xml:space="preserve"> to transmit a number of DCIs larger than the </w:t>
      </w:r>
      <w:r w:rsidR="00BF6344">
        <w:t>maximum number</w:t>
      </w:r>
      <w:r w:rsidR="00EE6E2B">
        <w:t>, it can distribute the DCIs in different spans.</w:t>
      </w:r>
    </w:p>
    <w:p w14:paraId="7272D7F3" w14:textId="0DEA52C0" w:rsidR="00BB7A92" w:rsidRDefault="00BB7A92" w:rsidP="00BB7A92">
      <w:pPr>
        <w:tabs>
          <w:tab w:val="left" w:pos="720"/>
        </w:tabs>
        <w:overflowPunct/>
        <w:autoSpaceDE/>
        <w:autoSpaceDN/>
        <w:adjustRightInd/>
        <w:spacing w:after="120"/>
        <w:textAlignment w:val="auto"/>
        <w:rPr>
          <w:b/>
        </w:rPr>
      </w:pPr>
      <w:bookmarkStart w:id="3" w:name="p3"/>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733759">
        <w:rPr>
          <w:b/>
          <w:noProof/>
        </w:rPr>
        <w:t>3</w:t>
      </w:r>
      <w:r w:rsidRPr="009D1F00">
        <w:rPr>
          <w:b/>
          <w:noProof/>
        </w:rPr>
        <w:fldChar w:fldCharType="end"/>
      </w:r>
      <w:r w:rsidRPr="009D1F00">
        <w:rPr>
          <w:b/>
        </w:rPr>
        <w:t xml:space="preserve">: For the case of a lower SCS PDCCH scheduling a higher SCS PDSCH, </w:t>
      </w:r>
      <w:r w:rsidR="00D1096F">
        <w:rPr>
          <w:b/>
        </w:rPr>
        <w:t xml:space="preserve">define the maximum number of DCIs </w:t>
      </w:r>
      <w:r w:rsidR="00AE4005">
        <w:rPr>
          <w:b/>
        </w:rPr>
        <w:t>that</w:t>
      </w:r>
      <w:r w:rsidR="00D1096F">
        <w:rPr>
          <w:b/>
        </w:rPr>
        <w:t xml:space="preserve"> the UE </w:t>
      </w:r>
      <w:r w:rsidR="00AE4005">
        <w:rPr>
          <w:b/>
        </w:rPr>
        <w:t xml:space="preserve">is expected </w:t>
      </w:r>
      <w:r w:rsidR="00D1096F">
        <w:rPr>
          <w:b/>
        </w:rPr>
        <w:t>to decode in each span</w:t>
      </w:r>
      <w:r w:rsidR="00FF550F">
        <w:rPr>
          <w:b/>
        </w:rPr>
        <w:t xml:space="preserve"> of PDCCH symbols</w:t>
      </w:r>
      <w:r>
        <w:rPr>
          <w:b/>
        </w:rPr>
        <w:t>.</w:t>
      </w:r>
      <w:bookmarkEnd w:id="3"/>
    </w:p>
    <w:tbl>
      <w:tblPr>
        <w:tblStyle w:val="TableGrid"/>
        <w:tblW w:w="0" w:type="auto"/>
        <w:tblLook w:val="04A0" w:firstRow="1" w:lastRow="0" w:firstColumn="1" w:lastColumn="0" w:noHBand="0" w:noVBand="1"/>
      </w:tblPr>
      <w:tblGrid>
        <w:gridCol w:w="9628"/>
      </w:tblGrid>
      <w:tr w:rsidR="00040A94" w14:paraId="7091A015" w14:textId="77777777" w:rsidTr="00040A94">
        <w:tc>
          <w:tcPr>
            <w:tcW w:w="9628" w:type="dxa"/>
          </w:tcPr>
          <w:p w14:paraId="4269DC49" w14:textId="004F8E58" w:rsidR="00040A94" w:rsidRDefault="00040A94" w:rsidP="004A450F">
            <w:pPr>
              <w:tabs>
                <w:tab w:val="left" w:pos="720"/>
              </w:tabs>
              <w:overflowPunct/>
              <w:autoSpaceDE/>
              <w:autoSpaceDN/>
              <w:adjustRightInd/>
              <w:spacing w:after="120"/>
              <w:textAlignment w:val="auto"/>
            </w:pPr>
            <w:r>
              <w:t>CA with a lower SCS PDCCH scheduling a higher SCS PDSCH</w:t>
            </w:r>
          </w:p>
          <w:p w14:paraId="1A412DDB" w14:textId="77777777" w:rsidR="0066111D" w:rsidRDefault="00040A94" w:rsidP="00655E39">
            <w:pPr>
              <w:tabs>
                <w:tab w:val="left" w:pos="720"/>
              </w:tabs>
              <w:overflowPunct/>
              <w:autoSpaceDE/>
              <w:autoSpaceDN/>
              <w:adjustRightInd/>
              <w:spacing w:after="120"/>
              <w:textAlignment w:val="auto"/>
            </w:pPr>
            <w:r>
              <w:object w:dxaOrig="13899" w:dyaOrig="1596" w14:anchorId="2EB2F459">
                <v:shape id="_x0000_i1026" type="#_x0000_t75" style="width:417.6pt;height:50.4pt" o:ole="">
                  <v:imagedata r:id="rId14" o:title=""/>
                </v:shape>
                <o:OLEObject Type="Embed" ProgID="Visio.Drawing.11" ShapeID="_x0000_i1026" DrawAspect="Content" ObjectID="_1618412633" r:id="rId15"/>
              </w:object>
            </w:r>
          </w:p>
          <w:p w14:paraId="2BB597E9" w14:textId="1A44BC39" w:rsidR="00655E39" w:rsidRDefault="000940B3" w:rsidP="00655E39">
            <w:pPr>
              <w:tabs>
                <w:tab w:val="left" w:pos="720"/>
              </w:tabs>
              <w:overflowPunct/>
              <w:autoSpaceDE/>
              <w:autoSpaceDN/>
              <w:adjustRightInd/>
              <w:spacing w:after="120"/>
              <w:textAlignment w:val="auto"/>
              <w:rPr>
                <w:lang w:val="en-GB"/>
              </w:rPr>
            </w:pPr>
            <w:r>
              <w:object w:dxaOrig="13711" w:dyaOrig="1582" w14:anchorId="38C4725A">
                <v:shape id="_x0000_i1027" type="#_x0000_t75" style="width:417.6pt;height:50.4pt" o:ole="">
                  <v:imagedata r:id="rId16" o:title=""/>
                </v:shape>
                <o:OLEObject Type="Embed" ProgID="Visio.Drawing.11" ShapeID="_x0000_i1027" DrawAspect="Content" ObjectID="_1618412634" r:id="rId17"/>
              </w:object>
            </w:r>
          </w:p>
        </w:tc>
      </w:tr>
    </w:tbl>
    <w:p w14:paraId="7D1BC1A7" w14:textId="77777777" w:rsidR="00C67135" w:rsidRPr="00D00D62" w:rsidRDefault="00C67135" w:rsidP="004A450F">
      <w:pPr>
        <w:tabs>
          <w:tab w:val="left" w:pos="720"/>
        </w:tabs>
        <w:overflowPunct/>
        <w:autoSpaceDE/>
        <w:autoSpaceDN/>
        <w:adjustRightInd/>
        <w:spacing w:after="120"/>
        <w:textAlignment w:val="auto"/>
      </w:pPr>
    </w:p>
    <w:p w14:paraId="5D511CA0" w14:textId="3D769278" w:rsidR="004A238C" w:rsidRDefault="00EA7344" w:rsidP="00EA7344">
      <w:pPr>
        <w:pStyle w:val="Heading2"/>
      </w:pPr>
      <w:r>
        <w:rPr>
          <w:rFonts w:cs="Arial"/>
          <w:lang w:eastAsia="zh-CN"/>
        </w:rPr>
        <w:lastRenderedPageBreak/>
        <w:t xml:space="preserve">∆ </w:t>
      </w:r>
      <w:r w:rsidR="00A30BE5">
        <w:rPr>
          <w:rFonts w:cs="Arial"/>
          <w:lang w:eastAsia="zh-CN"/>
        </w:rPr>
        <w:t xml:space="preserve">a </w:t>
      </w:r>
      <w:r>
        <w:rPr>
          <w:rFonts w:cs="Arial"/>
          <w:lang w:eastAsia="zh-CN"/>
        </w:rPr>
        <w:t xml:space="preserve">for </w:t>
      </w:r>
      <w:r w:rsidR="007D7CCB">
        <w:rPr>
          <w:rFonts w:cs="Arial"/>
          <w:lang w:eastAsia="zh-CN"/>
        </w:rPr>
        <w:t>Higher</w:t>
      </w:r>
      <w:r>
        <w:rPr>
          <w:rFonts w:cs="Arial"/>
          <w:lang w:eastAsia="zh-CN"/>
        </w:rPr>
        <w:t xml:space="preserve"> SCS PDCCH Scheduling </w:t>
      </w:r>
      <w:r w:rsidR="00A30BE5">
        <w:rPr>
          <w:rFonts w:cs="Arial"/>
          <w:lang w:eastAsia="zh-CN"/>
        </w:rPr>
        <w:t xml:space="preserve">a </w:t>
      </w:r>
      <w:r w:rsidR="007D7CCB">
        <w:rPr>
          <w:rFonts w:cs="Arial"/>
          <w:lang w:eastAsia="zh-CN"/>
        </w:rPr>
        <w:t>Lower</w:t>
      </w:r>
      <w:r>
        <w:rPr>
          <w:rFonts w:cs="Arial"/>
          <w:lang w:eastAsia="zh-CN"/>
        </w:rPr>
        <w:t xml:space="preserve"> SCS PDSCH</w:t>
      </w:r>
    </w:p>
    <w:p w14:paraId="0F89854D" w14:textId="31336FDF" w:rsidR="00620157" w:rsidRDefault="00620157" w:rsidP="0012243C">
      <w:r>
        <w:rPr>
          <w:lang w:val="en-GB"/>
        </w:rPr>
        <w:t xml:space="preserve">For the case </w:t>
      </w:r>
      <w:r w:rsidR="002E23B0">
        <w:rPr>
          <w:lang w:val="en-GB"/>
        </w:rPr>
        <w:t>of</w:t>
      </w:r>
      <w:r>
        <w:rPr>
          <w:lang w:val="en-GB"/>
        </w:rPr>
        <w:t xml:space="preserve"> a higher SCS PDCCH scheduling a lower SCS PDSCH, the following </w:t>
      </w:r>
      <w:r w:rsidR="00E363FC">
        <w:rPr>
          <w:lang w:val="en-GB"/>
        </w:rPr>
        <w:t>alternatives</w:t>
      </w:r>
      <w:r w:rsidR="00E363FC">
        <w:t xml:space="preserve"> </w:t>
      </w:r>
      <w:r>
        <w:t>are identified in RAN1#96bis</w:t>
      </w:r>
    </w:p>
    <w:p w14:paraId="29CB9CD6" w14:textId="77777777" w:rsidR="00620157" w:rsidRDefault="00620157" w:rsidP="0012243C">
      <w:pPr>
        <w:pStyle w:val="ListParagraph"/>
        <w:numPr>
          <w:ilvl w:val="0"/>
          <w:numId w:val="78"/>
        </w:numPr>
        <w:spacing w:after="0"/>
        <w:ind w:left="360"/>
        <w:contextualSpacing/>
        <w:rPr>
          <w:szCs w:val="20"/>
          <w:lang w:val="en-US"/>
        </w:rPr>
      </w:pPr>
      <w:r>
        <w:rPr>
          <w:szCs w:val="20"/>
          <w:lang w:val="en-US"/>
        </w:rPr>
        <w:t>Alt1: Reuse Rel-15 specification without modifications</w:t>
      </w:r>
    </w:p>
    <w:p w14:paraId="034C8A9F" w14:textId="77777777" w:rsidR="00620157" w:rsidRDefault="00620157" w:rsidP="0012243C">
      <w:pPr>
        <w:pStyle w:val="ListParagraph"/>
        <w:numPr>
          <w:ilvl w:val="0"/>
          <w:numId w:val="78"/>
        </w:numPr>
        <w:spacing w:after="0"/>
        <w:ind w:left="360"/>
        <w:contextualSpacing/>
        <w:rPr>
          <w:szCs w:val="20"/>
          <w:lang w:val="en-US"/>
        </w:rPr>
      </w:pPr>
      <w:r>
        <w:rPr>
          <w:szCs w:val="20"/>
          <w:lang w:val="en-US"/>
        </w:rPr>
        <w:t>Alt2: Use the same definition as with low-to-high scheduling</w:t>
      </w:r>
    </w:p>
    <w:p w14:paraId="0448DFCC" w14:textId="2A6EB72D" w:rsidR="00620157" w:rsidRDefault="00620157" w:rsidP="0012243C">
      <w:pPr>
        <w:pStyle w:val="ListParagraph"/>
        <w:numPr>
          <w:ilvl w:val="0"/>
          <w:numId w:val="78"/>
        </w:numPr>
        <w:spacing w:after="0"/>
        <w:ind w:left="360"/>
        <w:contextualSpacing/>
      </w:pPr>
      <w:r>
        <w:rPr>
          <w:szCs w:val="20"/>
          <w:lang w:val="en-US"/>
        </w:rPr>
        <w:t>Alt3: Other solutions</w:t>
      </w:r>
    </w:p>
    <w:p w14:paraId="0F7AACB7" w14:textId="0D33DBCD" w:rsidR="002556AC" w:rsidRDefault="002556AC" w:rsidP="0012243C">
      <w:pPr>
        <w:spacing w:before="240"/>
        <w:rPr>
          <w:lang w:eastAsia="zh-CN"/>
        </w:rPr>
      </w:pPr>
      <w:r>
        <w:rPr>
          <w:lang w:eastAsia="zh-CN"/>
        </w:rPr>
        <w:t xml:space="preserve">Alt 1 is a simple solution, but it does not consider the extra </w:t>
      </w:r>
      <w:r w:rsidR="00F80E98">
        <w:rPr>
          <w:lang w:eastAsia="zh-CN"/>
        </w:rPr>
        <w:t xml:space="preserve">UE </w:t>
      </w:r>
      <w:r>
        <w:rPr>
          <w:lang w:eastAsia="zh-CN"/>
        </w:rPr>
        <w:t xml:space="preserve">timeline overhead due to mixed numerology operation. Alt2 is </w:t>
      </w:r>
      <w:r w:rsidR="00F54C64">
        <w:rPr>
          <w:lang w:eastAsia="zh-CN"/>
        </w:rPr>
        <w:t xml:space="preserve">inefficient </w:t>
      </w:r>
      <w:r>
        <w:rPr>
          <w:lang w:eastAsia="zh-CN"/>
        </w:rPr>
        <w:t xml:space="preserve">if quantization is performed based on </w:t>
      </w:r>
      <w:r w:rsidR="00F16FD5">
        <w:rPr>
          <w:lang w:eastAsia="zh-CN"/>
        </w:rPr>
        <w:t>slot duration</w:t>
      </w:r>
      <w:r>
        <w:rPr>
          <w:lang w:eastAsia="zh-CN"/>
        </w:rPr>
        <w:t xml:space="preserve"> of the scheduled cell</w:t>
      </w:r>
      <w:r w:rsidR="00CD7F04">
        <w:rPr>
          <w:lang w:eastAsia="zh-CN"/>
        </w:rPr>
        <w:t xml:space="preserve"> which is </w:t>
      </w:r>
      <w:r w:rsidR="00F16FD5">
        <w:rPr>
          <w:lang w:eastAsia="zh-CN"/>
        </w:rPr>
        <w:t>larger</w:t>
      </w:r>
      <w:r w:rsidR="00CD7F04">
        <w:rPr>
          <w:lang w:eastAsia="zh-CN"/>
        </w:rPr>
        <w:t xml:space="preserve"> than </w:t>
      </w:r>
      <w:r w:rsidR="00F16FD5">
        <w:rPr>
          <w:lang w:eastAsia="zh-CN"/>
        </w:rPr>
        <w:t>slot duration</w:t>
      </w:r>
      <w:r w:rsidR="00CD7F04">
        <w:rPr>
          <w:lang w:eastAsia="zh-CN"/>
        </w:rPr>
        <w:t xml:space="preserve"> of the scheduling cell</w:t>
      </w:r>
      <w:r>
        <w:rPr>
          <w:lang w:eastAsia="zh-CN"/>
        </w:rPr>
        <w:t>. Therefore, we propose to adopt Alt2 without quantization</w:t>
      </w:r>
      <w:r w:rsidR="00E973D8">
        <w:rPr>
          <w:lang w:eastAsia="zh-CN"/>
        </w:rPr>
        <w:t xml:space="preserve"> as a </w:t>
      </w:r>
      <w:r w:rsidR="00927CE2">
        <w:rPr>
          <w:lang w:eastAsia="zh-CN"/>
        </w:rPr>
        <w:t>compromise</w:t>
      </w:r>
      <w:r w:rsidR="00E973D8">
        <w:rPr>
          <w:lang w:eastAsia="zh-CN"/>
        </w:rPr>
        <w:t xml:space="preserve"> </w:t>
      </w:r>
      <w:r w:rsidR="00FC18A1">
        <w:rPr>
          <w:lang w:eastAsia="zh-CN"/>
        </w:rPr>
        <w:t>between</w:t>
      </w:r>
      <w:r w:rsidR="00E973D8">
        <w:rPr>
          <w:lang w:eastAsia="zh-CN"/>
        </w:rPr>
        <w:t xml:space="preserve"> Alt1 and Alt2</w:t>
      </w:r>
      <w:r>
        <w:rPr>
          <w:lang w:eastAsia="zh-CN"/>
        </w:rPr>
        <w:t>.</w:t>
      </w:r>
    </w:p>
    <w:p w14:paraId="2B76EB4E" w14:textId="60F7D839" w:rsidR="002E23B0" w:rsidRDefault="002E23B0" w:rsidP="002E23B0">
      <w:pPr>
        <w:tabs>
          <w:tab w:val="left" w:pos="720"/>
        </w:tabs>
        <w:overflowPunct/>
        <w:autoSpaceDE/>
        <w:autoSpaceDN/>
        <w:adjustRightInd/>
        <w:spacing w:after="120"/>
        <w:textAlignment w:val="auto"/>
        <w:rPr>
          <w:b/>
        </w:rPr>
      </w:pPr>
      <w:bookmarkStart w:id="4" w:name="p4"/>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733759">
        <w:rPr>
          <w:b/>
          <w:noProof/>
        </w:rPr>
        <w:t>4</w:t>
      </w:r>
      <w:r w:rsidRPr="009D1F00">
        <w:rPr>
          <w:b/>
          <w:noProof/>
        </w:rPr>
        <w:fldChar w:fldCharType="end"/>
      </w:r>
      <w:r w:rsidRPr="009D1F00">
        <w:rPr>
          <w:b/>
        </w:rPr>
        <w:t xml:space="preserve">: For the case of a </w:t>
      </w:r>
      <w:r>
        <w:rPr>
          <w:b/>
        </w:rPr>
        <w:t>higher</w:t>
      </w:r>
      <w:r w:rsidRPr="009D1F00">
        <w:rPr>
          <w:b/>
        </w:rPr>
        <w:t xml:space="preserve"> SCS PDCCH scheduling a </w:t>
      </w:r>
      <w:r>
        <w:rPr>
          <w:b/>
        </w:rPr>
        <w:t>lower</w:t>
      </w:r>
      <w:r w:rsidRPr="009D1F00">
        <w:rPr>
          <w:b/>
        </w:rPr>
        <w:t xml:space="preserve"> SCS PDSCH, </w:t>
      </w:r>
      <w:r>
        <w:rPr>
          <w:b/>
        </w:rPr>
        <w:t xml:space="preserve">use the same </w:t>
      </w:r>
      <w:r w:rsidR="00001F40">
        <w:rPr>
          <w:b/>
        </w:rPr>
        <w:t xml:space="preserve">approach </w:t>
      </w:r>
      <w:r w:rsidR="00644EC7">
        <w:rPr>
          <w:b/>
        </w:rPr>
        <w:t xml:space="preserve">without quantization </w:t>
      </w:r>
      <w:r w:rsidR="00001F40">
        <w:rPr>
          <w:b/>
        </w:rPr>
        <w:t>to define</w:t>
      </w:r>
      <w:r>
        <w:rPr>
          <w:b/>
        </w:rPr>
        <w:t xml:space="preserve"> </w:t>
      </w:r>
      <m:oMath>
        <m:r>
          <m:rPr>
            <m:sty m:val="b"/>
          </m:rPr>
          <w:rPr>
            <w:rFonts w:ascii="Cambria Math" w:hAnsi="Cambria Math"/>
          </w:rPr>
          <m:t>Δ</m:t>
        </m:r>
      </m:oMath>
      <w:r>
        <w:rPr>
          <w:b/>
        </w:rPr>
        <w:t xml:space="preserve"> as that of the </w:t>
      </w:r>
      <w:r w:rsidR="004C5B15" w:rsidRPr="009D1F00">
        <w:rPr>
          <w:b/>
        </w:rPr>
        <w:t xml:space="preserve">case of a </w:t>
      </w:r>
      <w:r w:rsidR="004C5B15">
        <w:rPr>
          <w:b/>
        </w:rPr>
        <w:t>lower</w:t>
      </w:r>
      <w:r w:rsidR="004C5B15" w:rsidRPr="009D1F00">
        <w:rPr>
          <w:b/>
        </w:rPr>
        <w:t xml:space="preserve"> SCS PDCCH scheduling a </w:t>
      </w:r>
      <w:r w:rsidR="004C5B15">
        <w:rPr>
          <w:b/>
        </w:rPr>
        <w:t>higher</w:t>
      </w:r>
      <w:r w:rsidR="004C5B15" w:rsidRPr="009D1F00">
        <w:rPr>
          <w:b/>
        </w:rPr>
        <w:t xml:space="preserve"> SCS PDSCH</w:t>
      </w:r>
      <w:r>
        <w:rPr>
          <w:b/>
        </w:rPr>
        <w:t>.</w:t>
      </w:r>
      <w:bookmarkEnd w:id="4"/>
    </w:p>
    <w:p w14:paraId="743D8875" w14:textId="1D327FDE" w:rsidR="00026272" w:rsidRDefault="00B20462" w:rsidP="0012243C">
      <w:pPr>
        <w:spacing w:before="240"/>
      </w:pPr>
      <w:r>
        <w:t xml:space="preserve">For the case of </w:t>
      </w:r>
      <w:r w:rsidR="00DF06EB" w:rsidRPr="00664DA7">
        <w:t>a higher SCS PDCCH scheduling a lower SCS PDSCH</w:t>
      </w:r>
      <w:r>
        <w:t xml:space="preserve">, </w:t>
      </w:r>
      <w:r w:rsidR="00DF06EB">
        <w:t xml:space="preserve">a slot </w:t>
      </w:r>
      <w:r w:rsidR="003C670B">
        <w:t>o</w:t>
      </w:r>
      <w:r w:rsidR="00DF06EB">
        <w:t xml:space="preserve">n the </w:t>
      </w:r>
      <w:r w:rsidR="00E2681C">
        <w:t>scheduled carrier</w:t>
      </w:r>
      <w:r w:rsidR="00DF06EB">
        <w:t xml:space="preserve"> </w:t>
      </w:r>
      <w:r w:rsidR="00235E9A">
        <w:t>overlaps with</w:t>
      </w:r>
      <w:r w:rsidR="00DF06EB">
        <w:t xml:space="preserve"> multiple slots </w:t>
      </w:r>
      <w:r w:rsidR="003C670B">
        <w:t>o</w:t>
      </w:r>
      <w:r w:rsidR="00DF06EB">
        <w:t xml:space="preserve">n the </w:t>
      </w:r>
      <w:r w:rsidR="00E2681C">
        <w:t>scheduling carrier</w:t>
      </w:r>
      <w:r w:rsidR="00DF06EB">
        <w:t>.</w:t>
      </w:r>
      <w:r w:rsidR="00C2431A">
        <w:t xml:space="preserve"> As show</w:t>
      </w:r>
      <w:r w:rsidR="004526C9">
        <w:t>n</w:t>
      </w:r>
      <w:r w:rsidR="00C2431A">
        <w:t xml:space="preserve"> by the </w:t>
      </w:r>
      <w:r w:rsidR="004526C9">
        <w:t xml:space="preserve">following </w:t>
      </w:r>
      <w:r w:rsidR="00C2431A">
        <w:t>figure</w:t>
      </w:r>
      <w:r w:rsidR="004526C9">
        <w:t xml:space="preserve"> examples</w:t>
      </w:r>
      <w:r w:rsidR="003A4A2C">
        <w:t xml:space="preserve">, </w:t>
      </w:r>
      <w:r w:rsidR="008D1642">
        <w:t xml:space="preserve">PDCCH monitoring </w:t>
      </w:r>
      <w:r w:rsidR="00CC4E61">
        <w:t>Case 1-1</w:t>
      </w:r>
      <w:r w:rsidR="00014A6F">
        <w:t xml:space="preserve"> </w:t>
      </w:r>
      <w:r w:rsidR="00CC4E61">
        <w:t xml:space="preserve">in multiple slots </w:t>
      </w:r>
      <w:r w:rsidR="003C670B">
        <w:t>o</w:t>
      </w:r>
      <w:r w:rsidR="00CC4E61">
        <w:t xml:space="preserve">n </w:t>
      </w:r>
      <w:r w:rsidR="003A4A2C">
        <w:t xml:space="preserve">the scheduling </w:t>
      </w:r>
      <w:r w:rsidR="00086B21">
        <w:t>carrier</w:t>
      </w:r>
      <w:r w:rsidR="003A4A2C">
        <w:t xml:space="preserve"> </w:t>
      </w:r>
      <w:r w:rsidR="003536C0">
        <w:t>has</w:t>
      </w:r>
      <w:r w:rsidR="00FA0ED8">
        <w:t xml:space="preserve"> the same effect as</w:t>
      </w:r>
      <w:r w:rsidR="00CC4E61">
        <w:t xml:space="preserve"> </w:t>
      </w:r>
      <w:r w:rsidR="008D1642">
        <w:t xml:space="preserve">PDCCH monitoring </w:t>
      </w:r>
      <w:r w:rsidR="00CC4E61">
        <w:t>Case 2 with</w:t>
      </w:r>
      <w:r w:rsidR="00FA0ED8">
        <w:t xml:space="preserve"> self-scheduling</w:t>
      </w:r>
      <w:r w:rsidR="00CC4E61">
        <w:t xml:space="preserve">. </w:t>
      </w:r>
      <w:r w:rsidR="00CF5616">
        <w:t>It is not apparent that there is major benefit to allow</w:t>
      </w:r>
      <w:r w:rsidR="00147FA1">
        <w:t xml:space="preserve"> configur</w:t>
      </w:r>
      <w:r w:rsidR="00CF5616">
        <w:t>ation of</w:t>
      </w:r>
      <w:r w:rsidR="00147FA1">
        <w:t xml:space="preserve"> </w:t>
      </w:r>
      <w:r w:rsidR="007E713A">
        <w:t xml:space="preserve">PDCCH monitoring </w:t>
      </w:r>
      <w:r w:rsidR="00147FA1">
        <w:t xml:space="preserve">Case 2 for </w:t>
      </w:r>
      <w:r w:rsidR="00CF5616">
        <w:t xml:space="preserve">the case of </w:t>
      </w:r>
      <w:r w:rsidR="00147FA1">
        <w:t xml:space="preserve">higher SCS </w:t>
      </w:r>
      <w:r w:rsidR="00CF5616">
        <w:t xml:space="preserve">PDCCH </w:t>
      </w:r>
      <w:r w:rsidR="00147FA1">
        <w:t>scheduling lower SCS</w:t>
      </w:r>
      <w:r w:rsidR="00CF5616">
        <w:t xml:space="preserve"> PDSCH, because most of the flexibility can be already achieved with just </w:t>
      </w:r>
      <w:r w:rsidR="007E713A">
        <w:t>PDCCH monitoring</w:t>
      </w:r>
      <w:r w:rsidR="007E713A">
        <w:t xml:space="preserve"> </w:t>
      </w:r>
      <w:r w:rsidR="00CF5616">
        <w:t>Case 1-1</w:t>
      </w:r>
      <w:r w:rsidR="00147FA1" w:rsidDel="00CF5616">
        <w:t>.</w:t>
      </w:r>
    </w:p>
    <w:p w14:paraId="7D55DEF8" w14:textId="1EB5A55D" w:rsidR="00973C03" w:rsidRPr="0008047B" w:rsidRDefault="00474EA9" w:rsidP="00DF06EB">
      <w:pPr>
        <w:rPr>
          <w:b/>
          <w:color w:val="FF0000"/>
        </w:rPr>
      </w:pPr>
      <w:bookmarkStart w:id="5" w:name="o1"/>
      <w:r w:rsidRPr="00540258">
        <w:rPr>
          <w:b/>
        </w:rPr>
        <w:t xml:space="preserve">Observation </w:t>
      </w:r>
      <w:r w:rsidRPr="00540258">
        <w:rPr>
          <w:b/>
        </w:rPr>
        <w:fldChar w:fldCharType="begin"/>
      </w:r>
      <w:r w:rsidRPr="00540258">
        <w:rPr>
          <w:b/>
        </w:rPr>
        <w:instrText xml:space="preserve"> SEQ Observation \* ARABIC </w:instrText>
      </w:r>
      <w:r w:rsidRPr="00540258">
        <w:rPr>
          <w:b/>
        </w:rPr>
        <w:fldChar w:fldCharType="separate"/>
      </w:r>
      <w:r w:rsidR="00733759">
        <w:rPr>
          <w:b/>
          <w:noProof/>
        </w:rPr>
        <w:t>1</w:t>
      </w:r>
      <w:r w:rsidRPr="00540258">
        <w:rPr>
          <w:b/>
        </w:rPr>
        <w:fldChar w:fldCharType="end"/>
      </w:r>
      <w:r w:rsidRPr="00540258">
        <w:rPr>
          <w:b/>
        </w:rPr>
        <w:t xml:space="preserve">: For the case of a </w:t>
      </w:r>
      <w:r>
        <w:rPr>
          <w:b/>
        </w:rPr>
        <w:t>higher</w:t>
      </w:r>
      <w:r w:rsidRPr="00540258">
        <w:rPr>
          <w:b/>
        </w:rPr>
        <w:t xml:space="preserve"> SCS PDCCH scheduling a </w:t>
      </w:r>
      <w:r>
        <w:rPr>
          <w:b/>
        </w:rPr>
        <w:t>lower</w:t>
      </w:r>
      <w:r w:rsidRPr="00540258">
        <w:rPr>
          <w:b/>
        </w:rPr>
        <w:t xml:space="preserve"> SCS PDSCH, </w:t>
      </w:r>
      <w:r w:rsidR="007E713A">
        <w:rPr>
          <w:b/>
        </w:rPr>
        <w:t xml:space="preserve">PDCCH monitoring </w:t>
      </w:r>
      <w:r>
        <w:rPr>
          <w:b/>
        </w:rPr>
        <w:t xml:space="preserve">Case 1-1 in the scheduling </w:t>
      </w:r>
      <w:r w:rsidR="00A63F1E">
        <w:rPr>
          <w:b/>
        </w:rPr>
        <w:t>cell</w:t>
      </w:r>
      <w:r w:rsidR="00905126">
        <w:rPr>
          <w:b/>
        </w:rPr>
        <w:t xml:space="preserve"> for cross-carrier scheduling</w:t>
      </w:r>
      <w:r>
        <w:rPr>
          <w:b/>
        </w:rPr>
        <w:t xml:space="preserve"> </w:t>
      </w:r>
      <w:r w:rsidR="000D71B8">
        <w:rPr>
          <w:b/>
        </w:rPr>
        <w:t>has</w:t>
      </w:r>
      <w:r>
        <w:rPr>
          <w:b/>
        </w:rPr>
        <w:t xml:space="preserve"> </w:t>
      </w:r>
      <w:r w:rsidR="00CF5616">
        <w:rPr>
          <w:b/>
        </w:rPr>
        <w:t>similar</w:t>
      </w:r>
      <w:r w:rsidR="00952C57">
        <w:rPr>
          <w:b/>
        </w:rPr>
        <w:t xml:space="preserve"> effect</w:t>
      </w:r>
      <w:r w:rsidR="003C670B">
        <w:rPr>
          <w:b/>
        </w:rPr>
        <w:t>s</w:t>
      </w:r>
      <w:r w:rsidR="00952C57">
        <w:rPr>
          <w:b/>
        </w:rPr>
        <w:t xml:space="preserve"> </w:t>
      </w:r>
      <w:r w:rsidR="009C1D2F">
        <w:rPr>
          <w:b/>
        </w:rPr>
        <w:t>as</w:t>
      </w:r>
      <w:r w:rsidR="00A63F1E">
        <w:rPr>
          <w:b/>
        </w:rPr>
        <w:t xml:space="preserve"> </w:t>
      </w:r>
      <w:r w:rsidR="007E713A">
        <w:rPr>
          <w:b/>
        </w:rPr>
        <w:t xml:space="preserve">PDCCH monitoring </w:t>
      </w:r>
      <w:r w:rsidR="00A63F1E">
        <w:rPr>
          <w:b/>
        </w:rPr>
        <w:t xml:space="preserve">Case 2 </w:t>
      </w:r>
      <w:r w:rsidR="00C268D9">
        <w:rPr>
          <w:b/>
        </w:rPr>
        <w:t>for self-scheduling</w:t>
      </w:r>
      <w:r w:rsidRPr="00222DAB">
        <w:rPr>
          <w:b/>
        </w:rPr>
        <w:t>.</w:t>
      </w:r>
      <w:r w:rsidR="004B3D92">
        <w:rPr>
          <w:b/>
        </w:rPr>
        <w:t xml:space="preserve"> In this case, supporting </w:t>
      </w:r>
      <w:r w:rsidR="007E713A">
        <w:rPr>
          <w:b/>
        </w:rPr>
        <w:t xml:space="preserve">PDCCH monitoring </w:t>
      </w:r>
      <w:r w:rsidR="004B3D92">
        <w:rPr>
          <w:b/>
        </w:rPr>
        <w:t xml:space="preserve">Case 2 does not </w:t>
      </w:r>
      <w:r w:rsidR="006C7D3B">
        <w:rPr>
          <w:b/>
        </w:rPr>
        <w:t>have</w:t>
      </w:r>
      <w:r w:rsidR="00CF5616">
        <w:rPr>
          <w:b/>
        </w:rPr>
        <w:t xml:space="preserve"> much</w:t>
      </w:r>
      <w:r w:rsidR="00B129F9">
        <w:rPr>
          <w:b/>
        </w:rPr>
        <w:t xml:space="preserve"> extra</w:t>
      </w:r>
      <w:r w:rsidR="004B3D92">
        <w:rPr>
          <w:b/>
        </w:rPr>
        <w:t xml:space="preserve"> benefit.</w:t>
      </w:r>
      <w:bookmarkEnd w:id="5"/>
    </w:p>
    <w:p w14:paraId="0C0E97DE" w14:textId="16F00554" w:rsidR="00420490" w:rsidRDefault="00973C03" w:rsidP="00DF06EB">
      <w:pPr>
        <w:rPr>
          <w:lang w:eastAsia="zh-CN"/>
        </w:rPr>
      </w:pPr>
      <w:r>
        <w:t xml:space="preserve">Based on this observation, we propose </w:t>
      </w:r>
    </w:p>
    <w:p w14:paraId="151FDD4D" w14:textId="220F6436" w:rsidR="00761DA2" w:rsidRDefault="00420490" w:rsidP="00DF06EB">
      <w:bookmarkStart w:id="6" w:name="p5"/>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733759">
        <w:rPr>
          <w:b/>
          <w:noProof/>
        </w:rPr>
        <w:t>5</w:t>
      </w:r>
      <w:r w:rsidRPr="009D1F00">
        <w:rPr>
          <w:b/>
          <w:noProof/>
        </w:rPr>
        <w:fldChar w:fldCharType="end"/>
      </w:r>
      <w:r w:rsidRPr="009D1F00">
        <w:rPr>
          <w:b/>
        </w:rPr>
        <w:t xml:space="preserve">: For the case of a </w:t>
      </w:r>
      <w:r>
        <w:rPr>
          <w:b/>
        </w:rPr>
        <w:t>higher</w:t>
      </w:r>
      <w:r w:rsidRPr="009D1F00">
        <w:rPr>
          <w:b/>
        </w:rPr>
        <w:t xml:space="preserve"> SCS PDCCH scheduling a </w:t>
      </w:r>
      <w:r>
        <w:rPr>
          <w:b/>
        </w:rPr>
        <w:t>lower</w:t>
      </w:r>
      <w:r w:rsidRPr="009D1F00">
        <w:rPr>
          <w:b/>
        </w:rPr>
        <w:t xml:space="preserve"> SCS PDSCH, </w:t>
      </w:r>
      <w:r>
        <w:rPr>
          <w:b/>
        </w:rPr>
        <w:t>Case-2 PDCCH monitoring</w:t>
      </w:r>
      <w:r w:rsidR="00DC6B26">
        <w:rPr>
          <w:b/>
        </w:rPr>
        <w:t xml:space="preserve"> by the UE is not supported</w:t>
      </w:r>
      <w:r>
        <w:rPr>
          <w:b/>
        </w:rPr>
        <w:t>.</w:t>
      </w:r>
      <w:bookmarkEnd w:id="6"/>
    </w:p>
    <w:tbl>
      <w:tblPr>
        <w:tblStyle w:val="TableGrid"/>
        <w:tblW w:w="0" w:type="auto"/>
        <w:tblLook w:val="04A0" w:firstRow="1" w:lastRow="0" w:firstColumn="1" w:lastColumn="0" w:noHBand="0" w:noVBand="1"/>
      </w:tblPr>
      <w:tblGrid>
        <w:gridCol w:w="9628"/>
      </w:tblGrid>
      <w:tr w:rsidR="005C7777" w14:paraId="48CFA668" w14:textId="77777777" w:rsidTr="005C7777">
        <w:tc>
          <w:tcPr>
            <w:tcW w:w="9628" w:type="dxa"/>
          </w:tcPr>
          <w:p w14:paraId="598AB4CA" w14:textId="6000C1D9" w:rsidR="005C7777" w:rsidRDefault="00D2461E" w:rsidP="009A56D2">
            <w:r>
              <w:t xml:space="preserve">Cross-carrier scheduling with PDCCH </w:t>
            </w:r>
            <w:r w:rsidR="00D47EFB">
              <w:t>mon</w:t>
            </w:r>
            <w:r w:rsidR="00887BB5">
              <w:t>ito</w:t>
            </w:r>
            <w:r w:rsidR="007431F5">
              <w:t>r</w:t>
            </w:r>
            <w:r w:rsidR="00D47EFB">
              <w:t xml:space="preserve">ing </w:t>
            </w:r>
            <w:r>
              <w:t>Case 1-1</w:t>
            </w:r>
          </w:p>
          <w:p w14:paraId="4A3DAAF8" w14:textId="2018C757" w:rsidR="009A56D2" w:rsidRDefault="00D47EFB" w:rsidP="009A56D2">
            <w:r>
              <w:object w:dxaOrig="13843" w:dyaOrig="1556" w14:anchorId="28EC4ABB">
                <v:shape id="_x0000_i1028" type="#_x0000_t75" style="width:417.6pt;height:50.4pt;mso-position-horizontal:absolute" o:ole="">
                  <v:imagedata r:id="rId18" o:title=""/>
                </v:shape>
                <o:OLEObject Type="Embed" ProgID="Visio.Drawing.11" ShapeID="_x0000_i1028" DrawAspect="Content" ObjectID="_1618412635" r:id="rId19"/>
              </w:object>
            </w:r>
          </w:p>
          <w:p w14:paraId="268BAFC0" w14:textId="5A858653" w:rsidR="00D47EFB" w:rsidRDefault="00D47EFB" w:rsidP="009A56D2">
            <w:r>
              <w:t>Self-scheduling with PDCCH monitoring Case 2</w:t>
            </w:r>
          </w:p>
          <w:p w14:paraId="023510BC" w14:textId="49266710" w:rsidR="00D47EFB" w:rsidRDefault="001647DB" w:rsidP="009A56D2">
            <w:r>
              <w:t xml:space="preserve">  </w:t>
            </w:r>
            <w:r>
              <w:object w:dxaOrig="13666" w:dyaOrig="1333" w14:anchorId="5D389716">
                <v:shape id="_x0000_i1029" type="#_x0000_t75" style="width:410.4pt;height:36pt;mso-position-horizontal:absolute" o:ole="">
                  <v:imagedata r:id="rId20" o:title=""/>
                </v:shape>
                <o:OLEObject Type="Embed" ProgID="Visio.Drawing.11" ShapeID="_x0000_i1029" DrawAspect="Content" ObjectID="_1618412636" r:id="rId21"/>
              </w:object>
            </w:r>
          </w:p>
        </w:tc>
      </w:tr>
    </w:tbl>
    <w:p w14:paraId="1523E744" w14:textId="77777777" w:rsidR="008A3A0C" w:rsidRDefault="008A3A0C" w:rsidP="004A450F">
      <w:pPr>
        <w:rPr>
          <w:b/>
        </w:rPr>
      </w:pPr>
    </w:p>
    <w:p w14:paraId="425C3180" w14:textId="3E877DD4" w:rsidR="00E21C5A" w:rsidRDefault="00FC4AAB" w:rsidP="00076BEA">
      <w:pPr>
        <w:pStyle w:val="Heading2"/>
      </w:pPr>
      <w:r>
        <w:t>Number of Valid DCI Capability</w:t>
      </w:r>
    </w:p>
    <w:p w14:paraId="7F43EC62" w14:textId="5FF6698C" w:rsidR="00E33901" w:rsidRPr="00E33907" w:rsidRDefault="008D012A" w:rsidP="00E33901">
      <w:r w:rsidRPr="00E33907">
        <w:t>For the case of a lower SCS</w:t>
      </w:r>
      <w:r w:rsidR="001010C3" w:rsidRPr="00E33907">
        <w:t xml:space="preserve"> carrier</w:t>
      </w:r>
      <w:r w:rsidRPr="00E33907">
        <w:t xml:space="preserve"> scheduling a higher SCS</w:t>
      </w:r>
      <w:r w:rsidR="001010C3" w:rsidRPr="00E33907">
        <w:t xml:space="preserve"> carrier</w:t>
      </w:r>
      <w:r w:rsidRPr="00E33907">
        <w:t xml:space="preserve">, </w:t>
      </w:r>
      <w:r w:rsidR="00E33901" w:rsidRPr="00E33907">
        <w:t xml:space="preserve">the following </w:t>
      </w:r>
      <w:r w:rsidR="00E33901" w:rsidRPr="0012243C">
        <w:t xml:space="preserve">alternatives were identified in RAN1#96bis </w:t>
      </w:r>
    </w:p>
    <w:p w14:paraId="6BD05985" w14:textId="77777777" w:rsidR="00E33901" w:rsidRDefault="00E33901" w:rsidP="00E33901">
      <w:pPr>
        <w:numPr>
          <w:ilvl w:val="0"/>
          <w:numId w:val="82"/>
        </w:numPr>
        <w:spacing w:after="0"/>
      </w:pPr>
      <w:r>
        <w:rPr>
          <w:b/>
          <w:bCs/>
        </w:rPr>
        <w:t>Alt 1</w:t>
      </w:r>
      <w:r>
        <w:rPr>
          <w:bCs/>
        </w:rPr>
        <w:t xml:space="preserve">: Single-slot scheduling with increased number of </w:t>
      </w:r>
      <w:r>
        <w:t>valid unicast DCIs per PDCCH monitoring occasion</w:t>
      </w:r>
    </w:p>
    <w:p w14:paraId="33072F24" w14:textId="77777777" w:rsidR="00E33901" w:rsidRDefault="00E33901" w:rsidP="00E33901">
      <w:pPr>
        <w:numPr>
          <w:ilvl w:val="1"/>
          <w:numId w:val="83"/>
        </w:numPr>
        <w:spacing w:after="0"/>
        <w:rPr>
          <w:i/>
        </w:rPr>
      </w:pPr>
      <w:r>
        <w:t>FFS: number of valid DCIs</w:t>
      </w:r>
    </w:p>
    <w:p w14:paraId="35A83A3E" w14:textId="77777777" w:rsidR="00E33901" w:rsidRDefault="00E33901" w:rsidP="00E33901">
      <w:pPr>
        <w:pStyle w:val="ListParagraph"/>
        <w:numPr>
          <w:ilvl w:val="0"/>
          <w:numId w:val="83"/>
        </w:numPr>
        <w:spacing w:after="0"/>
        <w:contextualSpacing/>
        <w:rPr>
          <w:szCs w:val="20"/>
          <w:lang w:val="en-US"/>
        </w:rPr>
      </w:pPr>
      <w:r>
        <w:rPr>
          <w:b/>
          <w:bCs/>
          <w:szCs w:val="20"/>
          <w:lang w:val="en-US"/>
        </w:rPr>
        <w:t>Alt 2</w:t>
      </w:r>
      <w:r>
        <w:rPr>
          <w:bCs/>
          <w:szCs w:val="20"/>
          <w:lang w:val="en-US"/>
        </w:rPr>
        <w:t>: Single-slot scheduling and capability FG 3-5/3-5b</w:t>
      </w:r>
    </w:p>
    <w:p w14:paraId="11CF1EEA" w14:textId="77777777" w:rsidR="00E33901" w:rsidRDefault="00E33901" w:rsidP="00E33901">
      <w:pPr>
        <w:pStyle w:val="ListParagraph"/>
        <w:numPr>
          <w:ilvl w:val="1"/>
          <w:numId w:val="83"/>
        </w:numPr>
        <w:spacing w:after="0"/>
        <w:contextualSpacing/>
        <w:rPr>
          <w:i/>
          <w:szCs w:val="20"/>
          <w:lang w:val="en-US"/>
        </w:rPr>
      </w:pPr>
      <w:r>
        <w:rPr>
          <w:szCs w:val="20"/>
          <w:lang w:val="en-US"/>
        </w:rPr>
        <w:t>Note: When deriving the number of scheduling opportunities based on the number of slots in the scheduled cell overlapping one scheduling cell slot.</w:t>
      </w:r>
    </w:p>
    <w:p w14:paraId="51E1A7EF" w14:textId="77777777" w:rsidR="00E33901" w:rsidRDefault="00E33901" w:rsidP="00E33901">
      <w:pPr>
        <w:numPr>
          <w:ilvl w:val="0"/>
          <w:numId w:val="82"/>
        </w:numPr>
        <w:spacing w:after="0"/>
      </w:pPr>
      <w:r>
        <w:rPr>
          <w:b/>
          <w:bCs/>
        </w:rPr>
        <w:t>Alt 3</w:t>
      </w:r>
      <w:r>
        <w:rPr>
          <w:bCs/>
        </w:rPr>
        <w:t xml:space="preserve">: Multi-slot scheduling with different TB per slot  </w:t>
      </w:r>
    </w:p>
    <w:p w14:paraId="58F46D1D" w14:textId="77777777" w:rsidR="00E33901" w:rsidRDefault="00E33901" w:rsidP="00E33901">
      <w:pPr>
        <w:numPr>
          <w:ilvl w:val="0"/>
          <w:numId w:val="82"/>
        </w:numPr>
        <w:spacing w:after="0"/>
      </w:pPr>
      <w:r>
        <w:rPr>
          <w:b/>
          <w:bCs/>
        </w:rPr>
        <w:t>Alt 4:</w:t>
      </w:r>
      <w:r>
        <w:rPr>
          <w:bCs/>
        </w:rPr>
        <w:t xml:space="preserve"> Multi-slot scheduling with one TB across multiple slots </w:t>
      </w:r>
    </w:p>
    <w:p w14:paraId="51A66101" w14:textId="147C800B" w:rsidR="00C004EF" w:rsidRDefault="00ED10E5" w:rsidP="00C004EF">
      <w:pPr>
        <w:spacing w:before="240"/>
      </w:pPr>
      <w:r>
        <w:lastRenderedPageBreak/>
        <w:t>Alt 3 and Alt 4 propose to use a single DCI transmitted in the scheduling cell to carry the scheduling information for PDSCH in multiple slots of the scheduled cell. The differen</w:t>
      </w:r>
      <w:r w:rsidR="00D12388">
        <w:t>ce</w:t>
      </w:r>
      <w:r>
        <w:t xml:space="preserve"> between Alt 3 and Alt 4 is whether </w:t>
      </w:r>
      <w:r w:rsidR="00C004EF">
        <w:t>data in the multiple slots belong to a single TB or multiple TBs each in a slot of the scheduled cell. Although the basic idea of multi-slot scheduling sounds reasonable, a major design like this always result in numerous corner case issues</w:t>
      </w:r>
      <w:r w:rsidR="00DC6B26">
        <w:t xml:space="preserve"> that could be difficult to predict</w:t>
      </w:r>
      <w:r w:rsidR="00C004EF">
        <w:t>. Given that there is only one meeting left to finalize cross carrier scheduling with different numerologies, we prefer to choose a</w:t>
      </w:r>
      <w:r w:rsidR="00186AB4">
        <w:t xml:space="preserve"> </w:t>
      </w:r>
      <w:r w:rsidR="00DC6B26">
        <w:t xml:space="preserve">solution </w:t>
      </w:r>
      <w:r w:rsidR="00C004EF">
        <w:t xml:space="preserve">that is well based on existing design and do not bring in critical changes to existing DL </w:t>
      </w:r>
      <w:r w:rsidR="00C63D7E">
        <w:t>scheduling</w:t>
      </w:r>
      <w:r w:rsidR="00C004EF">
        <w:t xml:space="preserve"> mechanism. </w:t>
      </w:r>
    </w:p>
    <w:p w14:paraId="261F3045" w14:textId="21B4BF5D" w:rsidR="000549CF" w:rsidRDefault="00C004EF" w:rsidP="00C004EF">
      <w:pPr>
        <w:spacing w:before="240"/>
      </w:pPr>
      <w:r>
        <w:t xml:space="preserve">To this end, we </w:t>
      </w:r>
      <w:r w:rsidR="00546479">
        <w:t xml:space="preserve">support </w:t>
      </w:r>
      <w:r>
        <w:t xml:space="preserve">Alt 1 and Alt 2 as they are at most related to the UE capability discussion but </w:t>
      </w:r>
      <w:r w:rsidR="007E4592">
        <w:t xml:space="preserve">will </w:t>
      </w:r>
      <w:r>
        <w:t xml:space="preserve">not </w:t>
      </w:r>
      <w:r w:rsidR="00952C40">
        <w:t>bring in</w:t>
      </w:r>
      <w:r w:rsidR="007E4592">
        <w:t xml:space="preserve"> </w:t>
      </w:r>
      <w:r>
        <w:t xml:space="preserve">changes to </w:t>
      </w:r>
      <w:r w:rsidR="003C33BD">
        <w:t xml:space="preserve">the </w:t>
      </w:r>
      <w:r>
        <w:t xml:space="preserve">RAN1 spec. </w:t>
      </w:r>
      <w:r w:rsidR="00FF18FC">
        <w:t xml:space="preserve">Both of them try to determine a </w:t>
      </w:r>
      <w:r w:rsidR="00ED1004">
        <w:t>number of valid unicast DCIs per PDCCH slot</w:t>
      </w:r>
      <w:r w:rsidR="00952C40">
        <w:t xml:space="preserve"> of the scheduling cell that is</w:t>
      </w:r>
      <w:r w:rsidR="00ED1004">
        <w:t xml:space="preserve"> larger than the number of unicast DCIs per PDSCH slot</w:t>
      </w:r>
      <w:r w:rsidR="00186B7F">
        <w:t xml:space="preserve"> of the scheduled cell</w:t>
      </w:r>
      <w:r w:rsidR="001F65C3">
        <w:t xml:space="preserve"> in the self-scheduling </w:t>
      </w:r>
      <w:r w:rsidR="001D2EA7">
        <w:t>case</w:t>
      </w:r>
      <w:r w:rsidR="00ED1004">
        <w:t xml:space="preserve">. </w:t>
      </w:r>
      <w:r w:rsidR="00376EAC">
        <w:t>Besides</w:t>
      </w:r>
      <w:r w:rsidR="00ED1004">
        <w:t>, Alt 2 can be considered as a special case of Alt 1. Therefore, we think</w:t>
      </w:r>
      <w:r w:rsidR="003B1315">
        <w:t xml:space="preserve"> the final solution </w:t>
      </w:r>
      <w:r w:rsidR="00ED1004">
        <w:t xml:space="preserve">can be </w:t>
      </w:r>
      <w:r w:rsidR="00642976">
        <w:t xml:space="preserve">further </w:t>
      </w:r>
      <w:r w:rsidR="0080079D">
        <w:t xml:space="preserve">discussed </w:t>
      </w:r>
      <w:r w:rsidR="003B1315">
        <w:t>based on Alt 1</w:t>
      </w:r>
      <w:r w:rsidR="000549CF">
        <w:t>.</w:t>
      </w:r>
    </w:p>
    <w:p w14:paraId="5D8A67F1" w14:textId="3D18BBB9" w:rsidR="000549CF" w:rsidRPr="0012243C" w:rsidRDefault="000549CF" w:rsidP="00C004EF">
      <w:pPr>
        <w:spacing w:before="240"/>
        <w:rPr>
          <w:b/>
        </w:rPr>
      </w:pPr>
      <w:bookmarkStart w:id="7" w:name="p6"/>
      <w:r w:rsidRPr="003C2035">
        <w:rPr>
          <w:b/>
        </w:rPr>
        <w:t xml:space="preserve">Proposal </w:t>
      </w:r>
      <w:r w:rsidRPr="000A441F">
        <w:rPr>
          <w:b/>
          <w:noProof/>
        </w:rPr>
        <w:fldChar w:fldCharType="begin"/>
      </w:r>
      <w:r w:rsidRPr="003C2035">
        <w:rPr>
          <w:b/>
          <w:noProof/>
        </w:rPr>
        <w:instrText xml:space="preserve"> SEQ Proposal \* ARABIC </w:instrText>
      </w:r>
      <w:r w:rsidRPr="000A441F">
        <w:rPr>
          <w:b/>
          <w:noProof/>
        </w:rPr>
        <w:fldChar w:fldCharType="separate"/>
      </w:r>
      <w:r w:rsidR="00733759">
        <w:rPr>
          <w:b/>
          <w:noProof/>
        </w:rPr>
        <w:t>6</w:t>
      </w:r>
      <w:r w:rsidRPr="000A441F">
        <w:rPr>
          <w:b/>
          <w:noProof/>
        </w:rPr>
        <w:fldChar w:fldCharType="end"/>
      </w:r>
      <w:r w:rsidRPr="003C2035">
        <w:rPr>
          <w:b/>
        </w:rPr>
        <w:t xml:space="preserve">: For the case of a </w:t>
      </w:r>
      <w:r w:rsidR="00A705EB">
        <w:rPr>
          <w:b/>
        </w:rPr>
        <w:t>lower</w:t>
      </w:r>
      <w:r w:rsidRPr="003C2035">
        <w:rPr>
          <w:b/>
        </w:rPr>
        <w:t xml:space="preserve"> SCS PDCCH scheduling a </w:t>
      </w:r>
      <w:r w:rsidR="00397DBE">
        <w:rPr>
          <w:b/>
        </w:rPr>
        <w:t>higher</w:t>
      </w:r>
      <w:r w:rsidRPr="003C2035">
        <w:rPr>
          <w:b/>
        </w:rPr>
        <w:t xml:space="preserve"> SCS PDSCH, </w:t>
      </w:r>
      <w:r w:rsidR="003C2035">
        <w:rPr>
          <w:b/>
        </w:rPr>
        <w:t>define</w:t>
      </w:r>
      <w:r w:rsidR="003C2035" w:rsidRPr="0012243C">
        <w:rPr>
          <w:b/>
        </w:rPr>
        <w:t xml:space="preserve"> a number of valid unicast DCIs</w:t>
      </w:r>
      <w:r w:rsidR="004B70D5">
        <w:rPr>
          <w:b/>
        </w:rPr>
        <w:t xml:space="preserve"> for the scheduled cell</w:t>
      </w:r>
      <w:r w:rsidR="003C2035" w:rsidRPr="0012243C">
        <w:rPr>
          <w:b/>
        </w:rPr>
        <w:t xml:space="preserve"> per PDCCH slot </w:t>
      </w:r>
      <w:r w:rsidR="00B40CEC">
        <w:rPr>
          <w:b/>
        </w:rPr>
        <w:t xml:space="preserve">that is </w:t>
      </w:r>
      <w:r w:rsidR="003C2035" w:rsidRPr="0012243C">
        <w:rPr>
          <w:b/>
        </w:rPr>
        <w:t>larger than the number of unicast DCIs per PDSCH slot</w:t>
      </w:r>
      <w:r w:rsidRPr="003C2035">
        <w:rPr>
          <w:b/>
        </w:rPr>
        <w:t>.</w:t>
      </w:r>
      <w:bookmarkEnd w:id="7"/>
    </w:p>
    <w:p w14:paraId="4C5ED3AB" w14:textId="4A4B0739" w:rsidR="0017649D" w:rsidRDefault="0017649D" w:rsidP="00076BEA">
      <w:pPr>
        <w:pStyle w:val="Heading2"/>
      </w:pPr>
      <w:r>
        <w:t>QCL Assumptions under Cross-Carrier Scheduling</w:t>
      </w:r>
    </w:p>
    <w:p w14:paraId="4A4FF872" w14:textId="77777777" w:rsidR="00C412D1" w:rsidRDefault="0017649D" w:rsidP="0017649D">
      <w:pPr>
        <w:rPr>
          <w:lang w:val="en-GB"/>
        </w:rPr>
      </w:pPr>
      <w:r>
        <w:rPr>
          <w:lang w:val="en-GB"/>
        </w:rPr>
        <w:t>In R15 for cross</w:t>
      </w:r>
      <w:r w:rsidR="00B1041B">
        <w:rPr>
          <w:lang w:val="en-GB"/>
        </w:rPr>
        <w:t>-</w:t>
      </w:r>
      <w:r>
        <w:rPr>
          <w:lang w:val="en-GB"/>
        </w:rPr>
        <w:t xml:space="preserve">carrier scheduling of FR2 via FR1, it has been agreed that the TCI state should be indicated in the DCI and the offset should be larger than a threshold. This leads to scheduling restrictions at </w:t>
      </w:r>
      <w:proofErr w:type="spellStart"/>
      <w:r>
        <w:rPr>
          <w:lang w:val="en-GB"/>
        </w:rPr>
        <w:t>gNB</w:t>
      </w:r>
      <w:proofErr w:type="spellEnd"/>
      <w:r>
        <w:rPr>
          <w:lang w:val="en-GB"/>
        </w:rPr>
        <w:t xml:space="preserve"> and increased latency, as for this case the PDSCH in FR2 should be always scheduled with an offset larger than a threshold. In R16 this operation can be enhanced by allowing for cross-carrier scheduling with offset less than a threshold for the FR1-FR2 case. This requires specification of a rule for determining the default beam for PDSCH reception. </w:t>
      </w:r>
    </w:p>
    <w:p w14:paraId="5F64908C" w14:textId="2652AA11" w:rsidR="00BB52EF" w:rsidRPr="0012243C" w:rsidRDefault="004A3BF4" w:rsidP="00BB52EF">
      <w:pPr>
        <w:rPr>
          <w:b/>
        </w:rPr>
      </w:pPr>
      <w:r>
        <w:rPr>
          <w:lang w:val="en-GB"/>
        </w:rPr>
        <w:t>In RAN1-96bis, two alternative solutions were dis</w:t>
      </w:r>
      <w:r w:rsidR="00BB52EF">
        <w:rPr>
          <w:lang w:val="en-GB"/>
        </w:rPr>
        <w:t xml:space="preserve">cussed </w:t>
      </w:r>
      <w:r w:rsidR="00BB52EF" w:rsidRPr="0012243C">
        <w:t>for cross-</w:t>
      </w:r>
      <w:r w:rsidR="002B1A5C">
        <w:t>carrier</w:t>
      </w:r>
      <w:r w:rsidR="00BB52EF" w:rsidRPr="0012243C">
        <w:t xml:space="preserve"> scheduling if the scheduling timing offset is smaller than the threshold or if </w:t>
      </w:r>
      <w:proofErr w:type="spellStart"/>
      <w:r w:rsidR="00BB52EF" w:rsidRPr="0012243C">
        <w:t>Tci-PresentInDCI</w:t>
      </w:r>
      <w:proofErr w:type="spellEnd"/>
      <w:r w:rsidR="00BB52EF" w:rsidRPr="0012243C">
        <w:t xml:space="preserve"> is not enabled for DCI format 1_1</w:t>
      </w:r>
    </w:p>
    <w:p w14:paraId="300A3D47" w14:textId="77777777" w:rsidR="00BB52EF" w:rsidRPr="0012243C" w:rsidRDefault="00BB52EF" w:rsidP="0012243C">
      <w:pPr>
        <w:pStyle w:val="ListParagraph"/>
        <w:numPr>
          <w:ilvl w:val="0"/>
          <w:numId w:val="73"/>
        </w:numPr>
      </w:pPr>
      <w:r w:rsidRPr="0012243C">
        <w:t>Alt1: QCL assumption for the scheduled PDSCH is based on the TCI state with the lowest ID applicable to PDSCH in the active BWP of the scheduled cell.</w:t>
      </w:r>
    </w:p>
    <w:p w14:paraId="13DD8E49" w14:textId="42852E57" w:rsidR="00BB52EF" w:rsidRPr="00B92B35" w:rsidRDefault="00BB52EF" w:rsidP="0012243C">
      <w:pPr>
        <w:pStyle w:val="ListParagraph"/>
        <w:numPr>
          <w:ilvl w:val="0"/>
          <w:numId w:val="73"/>
        </w:numPr>
      </w:pPr>
      <w:r w:rsidRPr="0012243C">
        <w:t xml:space="preserve">Alt2: QCL assumption for the scheduled PDSCH is based on a TCI-state </w:t>
      </w:r>
      <w:r w:rsidR="000904B2" w:rsidRPr="00B92B35">
        <w:t>explicitly</w:t>
      </w:r>
      <w:r w:rsidRPr="0012243C">
        <w:t xml:space="preserve"> configured for this purpose</w:t>
      </w:r>
    </w:p>
    <w:p w14:paraId="4795E6C3" w14:textId="61FBBB36" w:rsidR="00FE0E2C" w:rsidRDefault="0044463C" w:rsidP="0017649D">
      <w:r>
        <w:t xml:space="preserve">The two alternatives provide </w:t>
      </w:r>
      <w:r w:rsidR="00124885">
        <w:t xml:space="preserve">potential </w:t>
      </w:r>
      <w:r>
        <w:t>direction</w:t>
      </w:r>
      <w:r w:rsidR="00937828">
        <w:t>s</w:t>
      </w:r>
      <w:r>
        <w:t xml:space="preserve"> for further discussion</w:t>
      </w:r>
      <w:r w:rsidR="00937828">
        <w:t>. For both of them, details need to be provided for a complete solution.</w:t>
      </w:r>
    </w:p>
    <w:p w14:paraId="035C9CCD" w14:textId="43EB2D2B" w:rsidR="008B4E55" w:rsidRDefault="00937828" w:rsidP="00937828">
      <w:pPr>
        <w:rPr>
          <w:lang w:val="en-GB"/>
        </w:rPr>
      </w:pPr>
      <w:r>
        <w:t>For Alt1, the remaining question is what is the</w:t>
      </w:r>
      <w:r w:rsidR="00C91254" w:rsidRPr="00937828">
        <w:rPr>
          <w:lang w:val="en-GB"/>
        </w:rPr>
        <w:t xml:space="preserve"> </w:t>
      </w:r>
      <w:r>
        <w:rPr>
          <w:lang w:val="en-GB"/>
        </w:rPr>
        <w:t>pool</w:t>
      </w:r>
      <w:r w:rsidR="00C91254" w:rsidRPr="00937828">
        <w:rPr>
          <w:lang w:val="en-GB"/>
        </w:rPr>
        <w:t xml:space="preserve"> of TCI states</w:t>
      </w:r>
      <w:r>
        <w:rPr>
          <w:lang w:val="en-GB"/>
        </w:rPr>
        <w:t xml:space="preserve"> in which</w:t>
      </w:r>
      <w:r w:rsidR="00C91254" w:rsidRPr="00937828">
        <w:rPr>
          <w:lang w:val="en-GB"/>
        </w:rPr>
        <w:t xml:space="preserve"> the lowest ID TCI state is defined</w:t>
      </w:r>
      <w:r w:rsidR="00E272E4">
        <w:rPr>
          <w:lang w:val="en-GB"/>
        </w:rPr>
        <w:t>.</w:t>
      </w:r>
      <w:r>
        <w:rPr>
          <w:lang w:val="en-GB"/>
        </w:rPr>
        <w:t xml:space="preserve"> </w:t>
      </w:r>
      <w:r w:rsidR="00967BB5">
        <w:rPr>
          <w:lang w:val="en-GB"/>
        </w:rPr>
        <w:t>There can be two options</w:t>
      </w:r>
    </w:p>
    <w:p w14:paraId="06047877" w14:textId="527664E1" w:rsidR="00C91254" w:rsidRPr="0012243C" w:rsidRDefault="00C91254" w:rsidP="0012243C">
      <w:pPr>
        <w:pStyle w:val="ListParagraph"/>
        <w:numPr>
          <w:ilvl w:val="0"/>
          <w:numId w:val="74"/>
        </w:numPr>
      </w:pPr>
      <w:r w:rsidRPr="0012243C">
        <w:t>Opt1: The pool is the set of TCI states configured by RRC for the scheduled PDSCH in the active BWP of the scheduled cell</w:t>
      </w:r>
      <w:r w:rsidR="007E784F">
        <w:t xml:space="preserve"> for regular QCL-</w:t>
      </w:r>
      <w:proofErr w:type="spellStart"/>
      <w:r w:rsidR="007E784F">
        <w:t>TypeD</w:t>
      </w:r>
      <w:proofErr w:type="spellEnd"/>
      <w:r w:rsidR="007E784F">
        <w:t xml:space="preserve"> determination</w:t>
      </w:r>
    </w:p>
    <w:p w14:paraId="6D4F06E8" w14:textId="75CB8F06" w:rsidR="00C91254" w:rsidRPr="00B92B35" w:rsidRDefault="00C91254" w:rsidP="0012243C">
      <w:pPr>
        <w:pStyle w:val="ListParagraph"/>
        <w:numPr>
          <w:ilvl w:val="0"/>
          <w:numId w:val="74"/>
        </w:numPr>
      </w:pPr>
      <w:r w:rsidRPr="0012243C">
        <w:t>Opt2: The pool is the set of TCI states that is activ</w:t>
      </w:r>
      <w:r w:rsidR="00F743CE">
        <w:t>at</w:t>
      </w:r>
      <w:r w:rsidRPr="0012243C">
        <w:t>ed by MAC</w:t>
      </w:r>
      <w:r w:rsidR="00350FD2">
        <w:t>-</w:t>
      </w:r>
      <w:r w:rsidRPr="0012243C">
        <w:t xml:space="preserve">CE. I.e., </w:t>
      </w:r>
      <w:r w:rsidRPr="00B92B35">
        <w:t>RRC first configures a set of TCI states, then MAC</w:t>
      </w:r>
      <w:r w:rsidR="00350FD2">
        <w:t>-C</w:t>
      </w:r>
      <w:r w:rsidRPr="00B92B35">
        <w:t xml:space="preserve">E activates a subset of </w:t>
      </w:r>
      <w:r w:rsidR="00623D53">
        <w:t xml:space="preserve">the </w:t>
      </w:r>
      <w:r w:rsidRPr="00B92B35">
        <w:t>RRC configured TCI states</w:t>
      </w:r>
    </w:p>
    <w:p w14:paraId="6B7F0759" w14:textId="7F9ECF5D" w:rsidR="00C91254" w:rsidRDefault="00251EB1" w:rsidP="00E62714">
      <w:r>
        <w:t xml:space="preserve">Option 1 is </w:t>
      </w:r>
      <w:r w:rsidR="005E2C9A">
        <w:t>simple,</w:t>
      </w:r>
      <w:r>
        <w:t xml:space="preserve"> but it requires </w:t>
      </w:r>
      <w:r w:rsidR="00683EA2">
        <w:t>network to dynamically r</w:t>
      </w:r>
      <w:r>
        <w:t>econfigur</w:t>
      </w:r>
      <w:r w:rsidR="00683EA2">
        <w:t>e</w:t>
      </w:r>
      <w:r>
        <w:t xml:space="preserve"> the </w:t>
      </w:r>
      <w:r w:rsidR="00444E00">
        <w:t xml:space="preserve">RRC </w:t>
      </w:r>
      <w:r>
        <w:t xml:space="preserve">TCI-state pool if the </w:t>
      </w:r>
      <w:r w:rsidR="005E2C9A">
        <w:t xml:space="preserve">UE moves out of the coverage </w:t>
      </w:r>
      <w:r w:rsidR="008B7B3C">
        <w:t xml:space="preserve">of </w:t>
      </w:r>
      <w:r w:rsidR="005E2C9A">
        <w:t>the old beam</w:t>
      </w:r>
      <w:r w:rsidR="0005711E">
        <w:t xml:space="preserve"> </w:t>
      </w:r>
      <w:r w:rsidR="00BB452B">
        <w:t xml:space="preserve">and the RRC reconfiguration </w:t>
      </w:r>
      <w:r w:rsidR="00687CD6">
        <w:t>is</w:t>
      </w:r>
      <w:r w:rsidR="0005711E">
        <w:t xml:space="preserve"> slow</w:t>
      </w:r>
      <w:r w:rsidR="005E2C9A">
        <w:t>. Option 2 allows n</w:t>
      </w:r>
      <w:r w:rsidR="00C91254" w:rsidRPr="005E2C9A">
        <w:t xml:space="preserve">etwork to more quickly switch </w:t>
      </w:r>
      <w:r w:rsidR="002A2CA7">
        <w:t xml:space="preserve">the </w:t>
      </w:r>
      <w:r w:rsidR="00C91254" w:rsidRPr="005E2C9A">
        <w:t>default QCL-</w:t>
      </w:r>
      <w:proofErr w:type="spellStart"/>
      <w:r w:rsidR="00C91254" w:rsidRPr="005E2C9A">
        <w:t>TypeD</w:t>
      </w:r>
      <w:proofErr w:type="spellEnd"/>
      <w:r w:rsidR="005E2C9A">
        <w:t xml:space="preserve">. </w:t>
      </w:r>
      <w:r w:rsidR="00F07DE7">
        <w:t>However, w</w:t>
      </w:r>
      <w:r w:rsidR="00E62714">
        <w:t xml:space="preserve">hen the </w:t>
      </w:r>
      <w:r w:rsidR="00CC03DB">
        <w:t>default</w:t>
      </w:r>
      <w:r w:rsidR="00E62714">
        <w:t xml:space="preserve"> </w:t>
      </w:r>
      <w:r w:rsidR="00CC03DB">
        <w:t>QCL-</w:t>
      </w:r>
      <w:proofErr w:type="spellStart"/>
      <w:r w:rsidR="00CC03DB">
        <w:t>TypeD</w:t>
      </w:r>
      <w:proofErr w:type="spellEnd"/>
      <w:r w:rsidR="00CC03DB">
        <w:t xml:space="preserve"> becomes outdated</w:t>
      </w:r>
      <w:r w:rsidR="00E62714">
        <w:t>, network still needs to send another MAC</w:t>
      </w:r>
      <w:r w:rsidR="00C07107">
        <w:t>-</w:t>
      </w:r>
      <w:r w:rsidR="00E62714">
        <w:t xml:space="preserve">CE command to </w:t>
      </w:r>
      <w:r w:rsidR="008378BA">
        <w:t>provide</w:t>
      </w:r>
      <w:r w:rsidR="00E62714">
        <w:t xml:space="preserve"> a new default</w:t>
      </w:r>
      <w:r w:rsidR="00C91254" w:rsidRPr="005E2C9A">
        <w:t xml:space="preserve"> QCL-</w:t>
      </w:r>
      <w:proofErr w:type="spellStart"/>
      <w:r w:rsidR="00C91254" w:rsidRPr="005E2C9A">
        <w:t>TypeD</w:t>
      </w:r>
      <w:proofErr w:type="spellEnd"/>
      <w:r w:rsidR="00C91254" w:rsidRPr="005E2C9A">
        <w:t xml:space="preserve"> </w:t>
      </w:r>
      <w:r w:rsidR="00E62714">
        <w:t xml:space="preserve">to the UE. In general, </w:t>
      </w:r>
      <w:r w:rsidR="00035518">
        <w:t>Alt1 requires consistent network involvement to update the default QCL</w:t>
      </w:r>
      <w:r w:rsidR="00035518" w:rsidRPr="005E2C9A">
        <w:t>-</w:t>
      </w:r>
      <w:proofErr w:type="spellStart"/>
      <w:r w:rsidR="00035518" w:rsidRPr="005E2C9A">
        <w:t>TypeD</w:t>
      </w:r>
      <w:proofErr w:type="spellEnd"/>
      <w:r w:rsidR="00035518">
        <w:t xml:space="preserve"> to avoid the UE stuck in a weak beam</w:t>
      </w:r>
      <w:r w:rsidR="004F4E79">
        <w:t xml:space="preserve"> </w:t>
      </w:r>
      <w:r w:rsidR="00D82733">
        <w:t>if</w:t>
      </w:r>
      <w:r w:rsidR="004F4E79">
        <w:t xml:space="preserve"> channel condition has change</w:t>
      </w:r>
      <w:r w:rsidR="00D82733">
        <w:t>d</w:t>
      </w:r>
      <w:r w:rsidR="00035518">
        <w:t>.</w:t>
      </w:r>
    </w:p>
    <w:p w14:paraId="40BF640F" w14:textId="2DD811CF" w:rsidR="00E3157A" w:rsidRPr="005E2C9A" w:rsidRDefault="00E3157A" w:rsidP="0012243C">
      <w:r>
        <w:t>For Alt1, the</w:t>
      </w:r>
      <w:r w:rsidR="002B13F2">
        <w:t xml:space="preserve">re can </w:t>
      </w:r>
      <w:r w:rsidR="00DD33DF">
        <w:t xml:space="preserve">be </w:t>
      </w:r>
      <w:r w:rsidR="002B13F2">
        <w:t xml:space="preserve">two options </w:t>
      </w:r>
      <w:r w:rsidR="00C677EB">
        <w:t>to make it</w:t>
      </w:r>
      <w:r w:rsidR="002B13F2">
        <w:t xml:space="preserve"> a complete solution</w:t>
      </w:r>
    </w:p>
    <w:p w14:paraId="11B52C4B" w14:textId="59B29A86" w:rsidR="00C91254" w:rsidRPr="00B92B35" w:rsidRDefault="00C91254" w:rsidP="0012243C">
      <w:pPr>
        <w:pStyle w:val="ListParagraph"/>
        <w:numPr>
          <w:ilvl w:val="0"/>
          <w:numId w:val="75"/>
        </w:numPr>
      </w:pPr>
      <w:r w:rsidRPr="00B92B35">
        <w:t>Opt1: define a new RRC parameter</w:t>
      </w:r>
      <w:r w:rsidR="00D35E15">
        <w:t>, a new MAC</w:t>
      </w:r>
      <w:r w:rsidR="00665ABF">
        <w:t>-</w:t>
      </w:r>
      <w:r w:rsidR="00D35E15">
        <w:t>CE command or a new DCI</w:t>
      </w:r>
      <w:r w:rsidRPr="00B92B35">
        <w:t xml:space="preserve"> to configure a </w:t>
      </w:r>
      <w:r w:rsidR="004C1F2D">
        <w:t xml:space="preserve">single </w:t>
      </w:r>
      <w:r w:rsidRPr="00B92B35">
        <w:t xml:space="preserve">TCI-state </w:t>
      </w:r>
      <w:r w:rsidR="00383400">
        <w:t xml:space="preserve">to provide </w:t>
      </w:r>
      <w:r w:rsidRPr="00B92B35">
        <w:t>the default QCL-</w:t>
      </w:r>
      <w:proofErr w:type="spellStart"/>
      <w:r w:rsidRPr="00B92B35">
        <w:t>TypeD</w:t>
      </w:r>
      <w:proofErr w:type="spellEnd"/>
      <w:r w:rsidRPr="00B92B35">
        <w:t xml:space="preserve"> for the PDSCH in the scheduled cell</w:t>
      </w:r>
    </w:p>
    <w:p w14:paraId="0E51C8A9" w14:textId="55B34CAD" w:rsidR="00C91254" w:rsidRPr="00B92B35" w:rsidRDefault="00C91254" w:rsidP="0012243C">
      <w:pPr>
        <w:pStyle w:val="ListParagraph"/>
        <w:numPr>
          <w:ilvl w:val="0"/>
          <w:numId w:val="75"/>
        </w:numPr>
      </w:pPr>
      <w:r w:rsidRPr="000A441F">
        <w:t>Opt</w:t>
      </w:r>
      <w:r w:rsidR="00D35E15">
        <w:t>2</w:t>
      </w:r>
      <w:r w:rsidRPr="00B92B35">
        <w:t>: define dummy CORESET(s)</w:t>
      </w:r>
      <w:r w:rsidR="00C27612">
        <w:t xml:space="preserve"> and associated search space set(s)</w:t>
      </w:r>
      <w:r w:rsidRPr="00B92B35">
        <w:t xml:space="preserve"> in the scheduled cell</w:t>
      </w:r>
    </w:p>
    <w:p w14:paraId="43E49DA8" w14:textId="16B8397A" w:rsidR="00967BB5" w:rsidRPr="0012243C" w:rsidRDefault="00E80BAF" w:rsidP="00937828">
      <w:r>
        <w:rPr>
          <w:lang w:val="en-GB"/>
        </w:rPr>
        <w:t xml:space="preserve">Because existing RRC, MAC CE and DCI configuration is used </w:t>
      </w:r>
      <w:r w:rsidR="001C1267">
        <w:rPr>
          <w:lang w:val="en-GB"/>
        </w:rPr>
        <w:t>to indicate</w:t>
      </w:r>
      <w:r>
        <w:rPr>
          <w:lang w:val="en-GB"/>
        </w:rPr>
        <w:t xml:space="preserve"> the regular QCL-</w:t>
      </w:r>
      <w:proofErr w:type="spellStart"/>
      <w:r>
        <w:rPr>
          <w:lang w:val="en-GB"/>
        </w:rPr>
        <w:t>TypeD</w:t>
      </w:r>
      <w:proofErr w:type="spellEnd"/>
      <w:r>
        <w:rPr>
          <w:lang w:val="en-GB"/>
        </w:rPr>
        <w:t>,</w:t>
      </w:r>
      <w:r w:rsidR="00CA2D1E">
        <w:rPr>
          <w:lang w:val="en-GB"/>
        </w:rPr>
        <w:t xml:space="preserve"> if network </w:t>
      </w:r>
      <w:r w:rsidR="00BF3F44">
        <w:rPr>
          <w:lang w:val="en-GB"/>
        </w:rPr>
        <w:t>wants to d</w:t>
      </w:r>
      <w:r w:rsidR="00CA2D1E">
        <w:rPr>
          <w:lang w:val="en-GB"/>
        </w:rPr>
        <w:t>irectly configure the default QCL-</w:t>
      </w:r>
      <w:proofErr w:type="spellStart"/>
      <w:r w:rsidR="00CA2D1E">
        <w:rPr>
          <w:lang w:val="en-GB"/>
        </w:rPr>
        <w:t>TypeD</w:t>
      </w:r>
      <w:proofErr w:type="spellEnd"/>
      <w:r w:rsidR="00BF3F44">
        <w:rPr>
          <w:lang w:val="en-GB"/>
        </w:rPr>
        <w:t xml:space="preserve"> through RRC, MAC-CE or DCI</w:t>
      </w:r>
      <w:r w:rsidR="00CA2D1E">
        <w:rPr>
          <w:lang w:val="en-GB"/>
        </w:rPr>
        <w:t>, a</w:t>
      </w:r>
      <w:r>
        <w:rPr>
          <w:lang w:val="en-GB"/>
        </w:rPr>
        <w:t xml:space="preserve"> new RRC parameter, MAC</w:t>
      </w:r>
      <w:r w:rsidR="00665ABF">
        <w:rPr>
          <w:lang w:val="en-GB"/>
        </w:rPr>
        <w:t>-</w:t>
      </w:r>
      <w:r>
        <w:rPr>
          <w:lang w:val="en-GB"/>
        </w:rPr>
        <w:t>CE</w:t>
      </w:r>
      <w:r w:rsidR="00665ABF">
        <w:rPr>
          <w:lang w:val="en-GB"/>
        </w:rPr>
        <w:t xml:space="preserve"> command</w:t>
      </w:r>
      <w:r>
        <w:rPr>
          <w:lang w:val="en-GB"/>
        </w:rPr>
        <w:t xml:space="preserve"> or DCI </w:t>
      </w:r>
      <w:r w:rsidR="00BF7F22">
        <w:rPr>
          <w:lang w:val="en-GB"/>
        </w:rPr>
        <w:t xml:space="preserve">format </w:t>
      </w:r>
      <w:r w:rsidR="00854E9C">
        <w:rPr>
          <w:lang w:val="en-GB"/>
        </w:rPr>
        <w:t>must be defined</w:t>
      </w:r>
      <w:r w:rsidR="00CA2D1E">
        <w:rPr>
          <w:lang w:val="en-GB"/>
        </w:rPr>
        <w:t xml:space="preserve">. </w:t>
      </w:r>
      <w:r w:rsidR="00295C8A">
        <w:rPr>
          <w:lang w:val="en-GB"/>
        </w:rPr>
        <w:t>S</w:t>
      </w:r>
      <w:r w:rsidR="008B7E49">
        <w:rPr>
          <w:lang w:val="en-GB"/>
        </w:rPr>
        <w:t>ignalling change</w:t>
      </w:r>
      <w:r w:rsidR="00565F03">
        <w:rPr>
          <w:lang w:val="en-GB"/>
        </w:rPr>
        <w:t xml:space="preserve"> </w:t>
      </w:r>
      <w:r w:rsidR="00295C8A">
        <w:rPr>
          <w:lang w:val="en-GB"/>
        </w:rPr>
        <w:t>may be</w:t>
      </w:r>
      <w:r w:rsidR="00565F03">
        <w:rPr>
          <w:lang w:val="en-GB"/>
        </w:rPr>
        <w:t xml:space="preserve"> </w:t>
      </w:r>
      <w:r w:rsidR="00295C8A">
        <w:rPr>
          <w:lang w:val="en-GB"/>
        </w:rPr>
        <w:t xml:space="preserve">acceptable </w:t>
      </w:r>
      <w:r w:rsidR="008B7E49">
        <w:t>for this feature,</w:t>
      </w:r>
      <w:r w:rsidR="00C34020">
        <w:t xml:space="preserve"> but</w:t>
      </w:r>
      <w:r w:rsidR="008B7E49">
        <w:t xml:space="preserve"> it should be discussed whether the change is really necessary.</w:t>
      </w:r>
    </w:p>
    <w:p w14:paraId="6CEB1711" w14:textId="705F1EE0" w:rsidR="0017649D" w:rsidRDefault="0017649D" w:rsidP="0017649D">
      <w:pPr>
        <w:rPr>
          <w:lang w:val="en-GB"/>
        </w:rPr>
      </w:pPr>
      <w:r>
        <w:rPr>
          <w:lang w:val="en-GB"/>
        </w:rPr>
        <w:t xml:space="preserve">The default rule for same carrier scheduling is a function of the TCI states used to monitor CORESETs. For cross-carrier scheduled case </w:t>
      </w:r>
      <w:r w:rsidR="002572CF">
        <w:rPr>
          <w:lang w:val="en-GB" w:eastAsia="zh-CN"/>
        </w:rPr>
        <w:t>we can follow th</w:t>
      </w:r>
      <w:r w:rsidR="00707518">
        <w:rPr>
          <w:lang w:val="en-GB" w:eastAsia="zh-CN"/>
        </w:rPr>
        <w:t>is</w:t>
      </w:r>
      <w:r w:rsidR="002572CF">
        <w:rPr>
          <w:lang w:val="en-GB" w:eastAsia="zh-CN"/>
        </w:rPr>
        <w:t xml:space="preserve"> </w:t>
      </w:r>
      <w:r w:rsidR="00146E6A">
        <w:rPr>
          <w:lang w:val="en-GB" w:eastAsia="zh-CN"/>
        </w:rPr>
        <w:t>rule</w:t>
      </w:r>
      <w:r>
        <w:rPr>
          <w:lang w:val="en-GB"/>
        </w:rPr>
        <w:t xml:space="preserve"> </w:t>
      </w:r>
      <w:r w:rsidR="00146E6A">
        <w:rPr>
          <w:lang w:val="en-GB"/>
        </w:rPr>
        <w:t>if</w:t>
      </w:r>
      <w:r>
        <w:rPr>
          <w:lang w:val="en-GB"/>
        </w:rPr>
        <w:t xml:space="preserve"> CORESET</w:t>
      </w:r>
      <w:r w:rsidR="00146E6A">
        <w:rPr>
          <w:lang w:val="en-GB"/>
        </w:rPr>
        <w:t>s and associated search space sets are defined</w:t>
      </w:r>
      <w:r>
        <w:rPr>
          <w:lang w:val="en-GB"/>
        </w:rPr>
        <w:t xml:space="preserve"> in the </w:t>
      </w:r>
      <w:r w:rsidR="002B6661">
        <w:rPr>
          <w:lang w:val="en-GB"/>
        </w:rPr>
        <w:lastRenderedPageBreak/>
        <w:t xml:space="preserve">scheduled </w:t>
      </w:r>
      <w:r>
        <w:rPr>
          <w:lang w:val="en-GB"/>
        </w:rPr>
        <w:t xml:space="preserve">cell. </w:t>
      </w:r>
      <w:r w:rsidR="00EF7296">
        <w:rPr>
          <w:lang w:val="en-GB"/>
        </w:rPr>
        <w:t xml:space="preserve">Same as the </w:t>
      </w:r>
      <w:r w:rsidR="00EE79A4">
        <w:rPr>
          <w:lang w:val="en-GB"/>
        </w:rPr>
        <w:t>same</w:t>
      </w:r>
      <w:r w:rsidR="00EF7296">
        <w:rPr>
          <w:lang w:val="en-GB"/>
        </w:rPr>
        <w:t xml:space="preserve"> carrier</w:t>
      </w:r>
      <w:r w:rsidR="00EE79A4">
        <w:rPr>
          <w:lang w:val="en-GB"/>
        </w:rPr>
        <w:t xml:space="preserve"> scheduling</w:t>
      </w:r>
      <w:r w:rsidR="00EF7296">
        <w:rPr>
          <w:lang w:val="en-GB"/>
        </w:rPr>
        <w:t xml:space="preserve"> case, t</w:t>
      </w:r>
      <w:r>
        <w:rPr>
          <w:lang w:val="en-GB"/>
        </w:rPr>
        <w:t>he default beam can be based on the TCI state associated with the CORESET</w:t>
      </w:r>
      <w:r w:rsidR="00146E6A">
        <w:rPr>
          <w:lang w:val="en-GB"/>
        </w:rPr>
        <w:t xml:space="preserve"> in slots where the associated search space sets are configured</w:t>
      </w:r>
      <w:r>
        <w:rPr>
          <w:lang w:val="en-GB"/>
        </w:rPr>
        <w:t xml:space="preserve">. </w:t>
      </w:r>
      <w:r w:rsidR="00146E6A">
        <w:rPr>
          <w:lang w:val="en-GB"/>
        </w:rPr>
        <w:t xml:space="preserve">Since </w:t>
      </w:r>
      <w:r w:rsidR="00C01C25">
        <w:rPr>
          <w:lang w:val="en-GB"/>
        </w:rPr>
        <w:t xml:space="preserve">PDCCH monitoring for the scheduled cell in </w:t>
      </w:r>
      <w:r w:rsidR="002B6661">
        <w:rPr>
          <w:lang w:val="en-GB"/>
        </w:rPr>
        <w:t xml:space="preserve">cross-carrier scheduling does not rely on a CORESET </w:t>
      </w:r>
      <w:r w:rsidR="00C01C25">
        <w:rPr>
          <w:lang w:val="en-GB"/>
        </w:rPr>
        <w:t xml:space="preserve">configured </w:t>
      </w:r>
      <w:r w:rsidR="002B6661">
        <w:rPr>
          <w:lang w:val="en-GB"/>
        </w:rPr>
        <w:t>in the scheduled cell, the CORESET is essentially a dummy CORESET</w:t>
      </w:r>
      <w:r>
        <w:rPr>
          <w:lang w:val="en-GB"/>
        </w:rPr>
        <w:t>.</w:t>
      </w:r>
      <w:r w:rsidR="002B6661">
        <w:rPr>
          <w:lang w:val="en-GB"/>
        </w:rPr>
        <w:t xml:space="preserve"> However, a search space set configured in the scheduled cell </w:t>
      </w:r>
      <w:r w:rsidR="00ED6534">
        <w:rPr>
          <w:lang w:val="en-GB"/>
        </w:rPr>
        <w:t>can be</w:t>
      </w:r>
      <w:r w:rsidR="002B6661">
        <w:rPr>
          <w:lang w:val="en-GB"/>
        </w:rPr>
        <w:t xml:space="preserve"> used for PDCCH monitoring </w:t>
      </w:r>
      <w:r w:rsidR="000024A6">
        <w:rPr>
          <w:lang w:val="en-GB"/>
        </w:rPr>
        <w:t xml:space="preserve">for the scheduled cell </w:t>
      </w:r>
      <w:r w:rsidR="002B6661">
        <w:rPr>
          <w:lang w:val="en-GB"/>
        </w:rPr>
        <w:t xml:space="preserve">if it has the same ID as a search space set </w:t>
      </w:r>
      <w:r w:rsidR="002D20E4">
        <w:rPr>
          <w:lang w:val="en-GB"/>
        </w:rPr>
        <w:t xml:space="preserve">configured </w:t>
      </w:r>
      <w:r w:rsidR="002B6661">
        <w:rPr>
          <w:lang w:val="en-GB"/>
        </w:rPr>
        <w:t>in the scheduling cell.</w:t>
      </w:r>
      <w:r w:rsidR="00C02176">
        <w:rPr>
          <w:lang w:val="en-GB"/>
        </w:rPr>
        <w:t xml:space="preserve"> Therefore, the search space set configured in the scheduled cell may not necessarily be dummy.</w:t>
      </w:r>
    </w:p>
    <w:p w14:paraId="47101FC8" w14:textId="633DFACE" w:rsidR="00A118DD" w:rsidRDefault="00A118DD" w:rsidP="0017649D">
      <w:pPr>
        <w:rPr>
          <w:lang w:val="en-GB"/>
        </w:rPr>
      </w:pPr>
      <w:r>
        <w:rPr>
          <w:lang w:val="en-GB"/>
        </w:rPr>
        <w:t xml:space="preserve">In comparison to </w:t>
      </w:r>
      <w:r w:rsidR="00E14126">
        <w:rPr>
          <w:lang w:val="en-GB"/>
        </w:rPr>
        <w:t xml:space="preserve">the </w:t>
      </w:r>
      <w:r>
        <w:rPr>
          <w:lang w:val="en-GB"/>
        </w:rPr>
        <w:t xml:space="preserve">other options </w:t>
      </w:r>
      <w:r w:rsidR="00B04B86">
        <w:rPr>
          <w:lang w:val="en-GB"/>
        </w:rPr>
        <w:t>under</w:t>
      </w:r>
      <w:r>
        <w:rPr>
          <w:lang w:val="en-GB"/>
        </w:rPr>
        <w:t xml:space="preserve"> Alt1 and Alt2, the dummy CORESET solution clearly has the following advantages</w:t>
      </w:r>
    </w:p>
    <w:p w14:paraId="27BD91CD" w14:textId="32665288" w:rsidR="00A118DD" w:rsidRDefault="00A118DD" w:rsidP="00A118DD">
      <w:pPr>
        <w:pStyle w:val="ListParagraph"/>
        <w:numPr>
          <w:ilvl w:val="0"/>
          <w:numId w:val="76"/>
        </w:numPr>
      </w:pPr>
      <w:r>
        <w:t xml:space="preserve">No RRC, MAC-CE, or DCI </w:t>
      </w:r>
      <w:r w:rsidR="00FF04D0">
        <w:t xml:space="preserve">change </w:t>
      </w:r>
      <w:r>
        <w:t xml:space="preserve">is needed </w:t>
      </w:r>
      <w:r w:rsidR="00E755EA">
        <w:t>for the</w:t>
      </w:r>
      <w:r>
        <w:t xml:space="preserve"> determin</w:t>
      </w:r>
      <w:r w:rsidR="00E755EA">
        <w:t>ation of</w:t>
      </w:r>
      <w:r>
        <w:t xml:space="preserve"> the default QCL-</w:t>
      </w:r>
      <w:proofErr w:type="spellStart"/>
      <w:r>
        <w:t>TypeD</w:t>
      </w:r>
      <w:proofErr w:type="spellEnd"/>
      <w:r>
        <w:t xml:space="preserve"> for cross-carrier scheduling</w:t>
      </w:r>
    </w:p>
    <w:p w14:paraId="01269EC9" w14:textId="1A8C715B" w:rsidR="00A118DD" w:rsidRDefault="00DF6204" w:rsidP="00A118DD">
      <w:pPr>
        <w:pStyle w:val="ListParagraph"/>
        <w:numPr>
          <w:ilvl w:val="0"/>
          <w:numId w:val="76"/>
        </w:numPr>
      </w:pPr>
      <w:r>
        <w:t xml:space="preserve">By configuring </w:t>
      </w:r>
      <w:r w:rsidR="004F274D">
        <w:t>multiple</w:t>
      </w:r>
      <w:r>
        <w:t xml:space="preserve"> dummy CORESETs in </w:t>
      </w:r>
      <w:r w:rsidRPr="00DF6204">
        <w:t xml:space="preserve">alternating </w:t>
      </w:r>
      <w:r>
        <w:t xml:space="preserve">slots in the scheduled cell, </w:t>
      </w:r>
      <w:r w:rsidR="009A33CB">
        <w:t xml:space="preserve">network can prevent the UE from being stuck in a weak beam </w:t>
      </w:r>
      <w:r w:rsidR="00A217AC">
        <w:t xml:space="preserve">when the channel condition has changed </w:t>
      </w:r>
      <w:r w:rsidR="009A33CB">
        <w:t>even without network involvement</w:t>
      </w:r>
      <w:r w:rsidR="007700B2">
        <w:t>. Therefore, this approach is more robust.</w:t>
      </w:r>
    </w:p>
    <w:p w14:paraId="4AF32368" w14:textId="7CC1FF49" w:rsidR="00E14126" w:rsidRPr="00B92B35" w:rsidRDefault="006407CC" w:rsidP="0012243C">
      <w:pPr>
        <w:pStyle w:val="ListParagraph"/>
        <w:numPr>
          <w:ilvl w:val="0"/>
          <w:numId w:val="76"/>
        </w:numPr>
      </w:pPr>
      <w:r>
        <w:t xml:space="preserve">The determination of </w:t>
      </w:r>
      <w:r w:rsidR="00401EE7">
        <w:t>the default QCL-</w:t>
      </w:r>
      <w:proofErr w:type="spellStart"/>
      <w:r w:rsidR="00401EE7">
        <w:t>TypeD</w:t>
      </w:r>
      <w:proofErr w:type="spellEnd"/>
      <w:r w:rsidR="00401EE7">
        <w:t xml:space="preserve"> for cross-carrier scheduling follows the same rule as a single carrier or self-scheduling case</w:t>
      </w:r>
      <w:r w:rsidR="00924FC0">
        <w:t xml:space="preserve"> which is already well defined in the spec</w:t>
      </w:r>
    </w:p>
    <w:p w14:paraId="11E0E01D" w14:textId="10D7453C" w:rsidR="0017649D" w:rsidRPr="00A93782" w:rsidRDefault="0017649D" w:rsidP="0017649D">
      <w:pPr>
        <w:pStyle w:val="Caption"/>
        <w:rPr>
          <w:lang w:val="en-GB"/>
        </w:rPr>
      </w:pPr>
      <w:bookmarkStart w:id="8" w:name="p7"/>
      <w:r w:rsidRPr="00A93782">
        <w:t xml:space="preserve">Proposal </w:t>
      </w:r>
      <w:r w:rsidR="000B789D" w:rsidRPr="00A93782">
        <w:rPr>
          <w:noProof/>
        </w:rPr>
        <w:fldChar w:fldCharType="begin"/>
      </w:r>
      <w:r w:rsidR="000B789D" w:rsidRPr="00A93782">
        <w:rPr>
          <w:noProof/>
        </w:rPr>
        <w:instrText xml:space="preserve"> SEQ Proposal \* ARABIC </w:instrText>
      </w:r>
      <w:r w:rsidR="000B789D" w:rsidRPr="00A93782">
        <w:rPr>
          <w:noProof/>
        </w:rPr>
        <w:fldChar w:fldCharType="separate"/>
      </w:r>
      <w:r w:rsidR="001C2159">
        <w:rPr>
          <w:noProof/>
        </w:rPr>
        <w:t>7</w:t>
      </w:r>
      <w:r w:rsidR="000B789D" w:rsidRPr="00A93782">
        <w:rPr>
          <w:noProof/>
        </w:rPr>
        <w:fldChar w:fldCharType="end"/>
      </w:r>
      <w:r w:rsidRPr="00A93782">
        <w:t xml:space="preserve">: </w:t>
      </w:r>
      <w:r w:rsidRPr="00A93782">
        <w:rPr>
          <w:lang w:val="en-GB"/>
        </w:rPr>
        <w:t>For the case where SCC in FR2 is cross carrier scheduled via DCI from a different carrier, dummy CORESET</w:t>
      </w:r>
      <w:r w:rsidR="006725AF" w:rsidRPr="00A93782">
        <w:rPr>
          <w:lang w:val="en-GB"/>
        </w:rPr>
        <w:t>(s)</w:t>
      </w:r>
      <w:r w:rsidRPr="00A93782">
        <w:rPr>
          <w:lang w:val="en-GB"/>
        </w:rPr>
        <w:t xml:space="preserve"> can be configured in the SCC. If the offset between the reception of the DL DCI corresponding to the cross-carrier </w:t>
      </w:r>
      <w:r w:rsidR="00460D3C">
        <w:rPr>
          <w:lang w:val="en-GB"/>
        </w:rPr>
        <w:t xml:space="preserve">scheduled </w:t>
      </w:r>
      <w:r w:rsidRPr="00A93782">
        <w:rPr>
          <w:lang w:val="en-GB"/>
        </w:rPr>
        <w:t>PDSCH is less than a threshold, the UE may assume the default beam for PDSCH reception is associated with the TCI state associated with the dummy CORESET</w:t>
      </w:r>
      <w:r w:rsidR="008A7CC2" w:rsidRPr="00A93782">
        <w:rPr>
          <w:lang w:val="en-GB"/>
        </w:rPr>
        <w:t xml:space="preserve">(s) </w:t>
      </w:r>
      <w:r w:rsidR="00050F12">
        <w:rPr>
          <w:lang w:val="en-GB"/>
        </w:rPr>
        <w:t>in</w:t>
      </w:r>
      <w:r w:rsidR="008A7CC2" w:rsidRPr="00A93782">
        <w:rPr>
          <w:lang w:val="en-GB"/>
        </w:rPr>
        <w:t xml:space="preserve"> slots where the associated search space sets are configured in the scheduled cell</w:t>
      </w:r>
      <w:r w:rsidRPr="00A93782">
        <w:rPr>
          <w:lang w:val="en-GB"/>
        </w:rPr>
        <w:t>.</w:t>
      </w:r>
      <w:bookmarkEnd w:id="8"/>
    </w:p>
    <w:p w14:paraId="27DAD645" w14:textId="77777777" w:rsidR="00AC1EC7" w:rsidRPr="00B92B35" w:rsidRDefault="00AC1EC7" w:rsidP="0012243C">
      <w:pPr>
        <w:rPr>
          <w:lang w:val="en-GB"/>
        </w:rPr>
      </w:pPr>
    </w:p>
    <w:p w14:paraId="16CFBAF1" w14:textId="08691F05" w:rsidR="00E4038C" w:rsidRDefault="00E4038C" w:rsidP="00387D4C">
      <w:pPr>
        <w:pStyle w:val="Heading1"/>
        <w:rPr>
          <w:lang w:eastAsia="zh-CN"/>
        </w:rPr>
      </w:pPr>
      <w:bookmarkStart w:id="9" w:name="_Toc503314554"/>
      <w:bookmarkStart w:id="10" w:name="_Toc503531337"/>
      <w:bookmarkEnd w:id="9"/>
      <w:bookmarkEnd w:id="10"/>
      <w:r w:rsidRPr="00C227E3">
        <w:t>Conclusion</w:t>
      </w:r>
    </w:p>
    <w:p w14:paraId="4A7CCD54" w14:textId="54ECB597" w:rsidR="00AF5673" w:rsidRDefault="007B645F" w:rsidP="00AF5673">
      <w:pPr>
        <w:spacing w:after="120"/>
      </w:pPr>
      <w:r>
        <w:t>The following</w:t>
      </w:r>
      <w:r w:rsidR="00EC3500">
        <w:t xml:space="preserve"> observation</w:t>
      </w:r>
      <w:r w:rsidR="008A1FEC">
        <w:t>s</w:t>
      </w:r>
      <w:r w:rsidR="00EC3500">
        <w:t xml:space="preserve"> and </w:t>
      </w:r>
      <w:r>
        <w:t>proposals have been made</w:t>
      </w:r>
      <w:r w:rsidR="00D20DBB">
        <w:t xml:space="preserve"> on issues </w:t>
      </w:r>
      <w:r w:rsidR="00784FF1">
        <w:t>for cross-carrier scheduling with different numerologies</w:t>
      </w:r>
      <w:r w:rsidR="00BD2B43">
        <w:t>:</w:t>
      </w:r>
    </w:p>
    <w:p w14:paraId="7A5E0C23" w14:textId="1FEAB5F5" w:rsidR="00A53B55" w:rsidRDefault="00A93782" w:rsidP="00A53B55">
      <w:pPr>
        <w:rPr>
          <w:lang w:eastAsia="zh-CN"/>
        </w:rPr>
      </w:pPr>
      <w:r>
        <w:rPr>
          <w:lang w:eastAsia="zh-CN"/>
        </w:rPr>
        <w:fldChar w:fldCharType="begin"/>
      </w:r>
      <w:r>
        <w:rPr>
          <w:lang w:eastAsia="zh-CN"/>
        </w:rPr>
        <w:instrText xml:space="preserve"> REF o1 \h </w:instrText>
      </w:r>
      <w:r>
        <w:rPr>
          <w:lang w:eastAsia="zh-CN"/>
        </w:rPr>
      </w:r>
      <w:r>
        <w:rPr>
          <w:lang w:eastAsia="zh-CN"/>
        </w:rPr>
        <w:fldChar w:fldCharType="separate"/>
      </w:r>
      <w:r w:rsidR="00A03BD1" w:rsidRPr="00540258">
        <w:rPr>
          <w:b/>
        </w:rPr>
        <w:t xml:space="preserve">Observation </w:t>
      </w:r>
      <w:r w:rsidR="00A03BD1">
        <w:rPr>
          <w:b/>
          <w:noProof/>
        </w:rPr>
        <w:t>1</w:t>
      </w:r>
      <w:r w:rsidR="00A03BD1" w:rsidRPr="00540258">
        <w:rPr>
          <w:b/>
        </w:rPr>
        <w:t xml:space="preserve">: For the case of a </w:t>
      </w:r>
      <w:r w:rsidR="00A03BD1">
        <w:rPr>
          <w:b/>
        </w:rPr>
        <w:t>higher</w:t>
      </w:r>
      <w:r w:rsidR="00A03BD1" w:rsidRPr="00540258">
        <w:rPr>
          <w:b/>
        </w:rPr>
        <w:t xml:space="preserve"> SCS PDCCH scheduling a </w:t>
      </w:r>
      <w:r w:rsidR="00A03BD1">
        <w:rPr>
          <w:b/>
        </w:rPr>
        <w:t>lower</w:t>
      </w:r>
      <w:r w:rsidR="00A03BD1" w:rsidRPr="00540258">
        <w:rPr>
          <w:b/>
        </w:rPr>
        <w:t xml:space="preserve"> SCS PDSCH, </w:t>
      </w:r>
      <w:r w:rsidR="00A03BD1">
        <w:rPr>
          <w:b/>
        </w:rPr>
        <w:t xml:space="preserve">PDCCH monitoring </w:t>
      </w:r>
      <w:r w:rsidR="00A03BD1">
        <w:rPr>
          <w:b/>
        </w:rPr>
        <w:t xml:space="preserve">Case 1-1 in the scheduling cell for cross-carrier scheduling has similar effects as </w:t>
      </w:r>
      <w:r w:rsidR="00A03BD1">
        <w:rPr>
          <w:b/>
        </w:rPr>
        <w:t xml:space="preserve">PDCCH monitoring </w:t>
      </w:r>
      <w:r w:rsidR="00A03BD1">
        <w:rPr>
          <w:b/>
        </w:rPr>
        <w:t>Case 2 for self-scheduling</w:t>
      </w:r>
      <w:r w:rsidR="00A03BD1" w:rsidRPr="00222DAB">
        <w:rPr>
          <w:b/>
        </w:rPr>
        <w:t>.</w:t>
      </w:r>
      <w:r w:rsidR="00A03BD1">
        <w:rPr>
          <w:b/>
        </w:rPr>
        <w:t xml:space="preserve"> In this case, supporting </w:t>
      </w:r>
      <w:r w:rsidR="00A03BD1">
        <w:rPr>
          <w:b/>
        </w:rPr>
        <w:t xml:space="preserve">PDCCH monitoring </w:t>
      </w:r>
      <w:r w:rsidR="00A03BD1">
        <w:rPr>
          <w:b/>
        </w:rPr>
        <w:t>Case 2 does not have much extra benefit.</w:t>
      </w:r>
      <w:r>
        <w:rPr>
          <w:lang w:eastAsia="zh-CN"/>
        </w:rPr>
        <w:fldChar w:fldCharType="end"/>
      </w:r>
    </w:p>
    <w:p w14:paraId="07765C2A" w14:textId="77777777" w:rsidR="00A03BD1" w:rsidRDefault="00A93782" w:rsidP="00A857F1">
      <w:pPr>
        <w:spacing w:before="240"/>
        <w:rPr>
          <w:b/>
        </w:rPr>
      </w:pPr>
      <w:r>
        <w:rPr>
          <w:lang w:eastAsia="zh-CN"/>
        </w:rPr>
        <w:fldChar w:fldCharType="begin"/>
      </w:r>
      <w:r>
        <w:rPr>
          <w:lang w:eastAsia="zh-CN"/>
        </w:rPr>
        <w:instrText xml:space="preserve"> REF p1 \h </w:instrText>
      </w:r>
      <w:r>
        <w:rPr>
          <w:lang w:eastAsia="zh-CN"/>
        </w:rPr>
      </w:r>
      <w:r>
        <w:rPr>
          <w:lang w:eastAsia="zh-CN"/>
        </w:rPr>
        <w:fldChar w:fldCharType="separate"/>
      </w:r>
      <w:r w:rsidR="00A03BD1" w:rsidRPr="009D1F00">
        <w:rPr>
          <w:b/>
        </w:rPr>
        <w:t xml:space="preserve">Proposal </w:t>
      </w:r>
      <w:r w:rsidR="00A03BD1">
        <w:rPr>
          <w:b/>
          <w:noProof/>
        </w:rPr>
        <w:t>1</w:t>
      </w:r>
      <w:r w:rsidR="00A03BD1" w:rsidRPr="009D1F00">
        <w:rPr>
          <w:b/>
        </w:rPr>
        <w:t>:</w:t>
      </w:r>
      <w:r w:rsidR="00A03BD1">
        <w:rPr>
          <w:b/>
        </w:rPr>
        <w:t xml:space="preserve"> For PDCCH monitoring Case 1-1, f</w:t>
      </w:r>
      <w:r w:rsidR="00A03BD1" w:rsidRPr="009D1F00">
        <w:rPr>
          <w:b/>
        </w:rPr>
        <w:t>or the case of a lower SCS PDCCH scheduling a higher SCS PDSCH</w:t>
      </w:r>
      <w:r w:rsidR="00A03BD1">
        <w:rPr>
          <w:b/>
        </w:rPr>
        <w:t xml:space="preserve">, </w:t>
      </w:r>
      <w:r w:rsidR="00A03BD1" w:rsidRPr="009D1F00">
        <w:rPr>
          <w:b/>
        </w:rPr>
        <w:sym w:font="Symbol" w:char="F044"/>
      </w:r>
      <w:r w:rsidR="00A03BD1" w:rsidRPr="009D1F00">
        <w:rPr>
          <w:b/>
        </w:rPr>
        <w:t xml:space="preserve"> values</w:t>
      </w:r>
      <w:r w:rsidR="00A03BD1">
        <w:rPr>
          <w:b/>
        </w:rPr>
        <w:t xml:space="preserve"> are defined by</w:t>
      </w:r>
    </w:p>
    <w:tbl>
      <w:tblPr>
        <w:tblStyle w:val="TableGrid"/>
        <w:tblW w:w="7371" w:type="dxa"/>
        <w:tblInd w:w="1413" w:type="dxa"/>
        <w:tblLayout w:type="fixed"/>
        <w:tblLook w:val="04A0" w:firstRow="1" w:lastRow="0" w:firstColumn="1" w:lastColumn="0" w:noHBand="0" w:noVBand="1"/>
      </w:tblPr>
      <w:tblGrid>
        <w:gridCol w:w="2268"/>
        <w:gridCol w:w="1701"/>
        <w:gridCol w:w="1701"/>
        <w:gridCol w:w="1701"/>
      </w:tblGrid>
      <w:tr w:rsidR="00A03BD1" w14:paraId="0AC70A38" w14:textId="77777777" w:rsidTr="00CC23DA">
        <w:trPr>
          <w:trHeight w:val="283"/>
        </w:trPr>
        <w:tc>
          <w:tcPr>
            <w:tcW w:w="2268" w:type="dxa"/>
            <w:shd w:val="clear" w:color="auto" w:fill="BFBFBF" w:themeFill="background1" w:themeFillShade="BF"/>
          </w:tcPr>
          <w:p w14:paraId="62BA6F01" w14:textId="77777777" w:rsidR="00A03BD1" w:rsidRDefault="00A03BD1" w:rsidP="00CC23DA">
            <w:pPr>
              <w:spacing w:after="0"/>
              <w:jc w:val="center"/>
              <w:rPr>
                <w:rFonts w:ascii="Arial" w:hAnsi="Arial" w:cs="Arial"/>
                <w:b/>
                <w:color w:val="000000"/>
                <w:sz w:val="16"/>
                <w:szCs w:val="16"/>
                <w:lang w:eastAsia="ja-JP"/>
              </w:rPr>
            </w:pPr>
            <w:r>
              <w:rPr>
                <w:rFonts w:ascii="Arial" w:hAnsi="Arial" w:cs="Arial"/>
                <w:b/>
                <w:color w:val="000000"/>
                <w:sz w:val="16"/>
                <w:szCs w:val="16"/>
                <w:lang w:eastAsia="ja-JP"/>
              </w:rPr>
              <w:t>PDCCH SCS</w:t>
            </w:r>
            <w:bookmarkStart w:id="11" w:name="_GoBack"/>
            <w:bookmarkEnd w:id="11"/>
          </w:p>
        </w:tc>
        <w:tc>
          <w:tcPr>
            <w:tcW w:w="1701" w:type="dxa"/>
            <w:shd w:val="clear" w:color="auto" w:fill="BFBFBF" w:themeFill="background1" w:themeFillShade="BF"/>
          </w:tcPr>
          <w:p w14:paraId="25415899" w14:textId="77777777" w:rsidR="00A03BD1" w:rsidRDefault="00A03BD1" w:rsidP="00CC23DA">
            <w:pPr>
              <w:spacing w:after="0"/>
              <w:jc w:val="center"/>
              <w:rPr>
                <w:rFonts w:ascii="Arial" w:hAnsi="Arial" w:cs="Arial"/>
                <w:b/>
                <w:color w:val="000000"/>
                <w:sz w:val="16"/>
                <w:szCs w:val="16"/>
                <w:lang w:eastAsia="ja-JP"/>
              </w:rPr>
            </w:pPr>
            <w:r>
              <w:rPr>
                <w:rFonts w:ascii="Arial" w:hAnsi="Arial" w:cs="Arial"/>
                <w:b/>
                <w:color w:val="000000"/>
                <w:sz w:val="16"/>
                <w:szCs w:val="16"/>
                <w:lang w:eastAsia="ja-JP"/>
              </w:rPr>
              <w:t>15 kHz</w:t>
            </w:r>
          </w:p>
        </w:tc>
        <w:tc>
          <w:tcPr>
            <w:tcW w:w="1701" w:type="dxa"/>
            <w:shd w:val="clear" w:color="auto" w:fill="BFBFBF" w:themeFill="background1" w:themeFillShade="BF"/>
          </w:tcPr>
          <w:p w14:paraId="56F0BA40" w14:textId="77777777" w:rsidR="00A03BD1" w:rsidRDefault="00A03BD1" w:rsidP="00CC23DA">
            <w:pPr>
              <w:spacing w:after="0"/>
              <w:jc w:val="center"/>
              <w:rPr>
                <w:rFonts w:ascii="Arial" w:hAnsi="Arial" w:cs="Arial"/>
                <w:b/>
                <w:color w:val="000000"/>
                <w:sz w:val="16"/>
                <w:szCs w:val="16"/>
                <w:lang w:eastAsia="ja-JP"/>
              </w:rPr>
            </w:pPr>
            <w:r>
              <w:rPr>
                <w:rFonts w:ascii="Arial" w:hAnsi="Arial" w:cs="Arial"/>
                <w:b/>
                <w:color w:val="000000"/>
                <w:sz w:val="16"/>
                <w:szCs w:val="16"/>
                <w:lang w:eastAsia="ja-JP"/>
              </w:rPr>
              <w:t>30 kHz</w:t>
            </w:r>
          </w:p>
        </w:tc>
        <w:tc>
          <w:tcPr>
            <w:tcW w:w="1701" w:type="dxa"/>
            <w:shd w:val="clear" w:color="auto" w:fill="BFBFBF" w:themeFill="background1" w:themeFillShade="BF"/>
          </w:tcPr>
          <w:p w14:paraId="6C260CD4" w14:textId="77777777" w:rsidR="00A03BD1" w:rsidRDefault="00A03BD1" w:rsidP="00CC23DA">
            <w:pPr>
              <w:spacing w:after="0"/>
              <w:jc w:val="center"/>
              <w:rPr>
                <w:rFonts w:ascii="Arial" w:hAnsi="Arial" w:cs="Arial"/>
                <w:b/>
                <w:color w:val="000000"/>
                <w:sz w:val="16"/>
                <w:szCs w:val="16"/>
                <w:lang w:eastAsia="ja-JP"/>
              </w:rPr>
            </w:pPr>
            <w:r>
              <w:rPr>
                <w:rFonts w:ascii="Arial" w:hAnsi="Arial" w:cs="Arial"/>
                <w:b/>
                <w:color w:val="000000"/>
                <w:sz w:val="16"/>
                <w:szCs w:val="16"/>
                <w:lang w:eastAsia="ja-JP"/>
              </w:rPr>
              <w:t>60 kHz</w:t>
            </w:r>
          </w:p>
        </w:tc>
      </w:tr>
      <w:tr w:rsidR="00A03BD1" w14:paraId="0D8B7972" w14:textId="77777777" w:rsidTr="00CC23DA">
        <w:trPr>
          <w:trHeight w:val="283"/>
        </w:trPr>
        <w:tc>
          <w:tcPr>
            <w:tcW w:w="2268" w:type="dxa"/>
            <w:shd w:val="clear" w:color="auto" w:fill="BFBFBF" w:themeFill="background1" w:themeFillShade="BF"/>
          </w:tcPr>
          <w:p w14:paraId="10DFBAB9" w14:textId="77777777" w:rsidR="00A03BD1" w:rsidRDefault="00A03BD1" w:rsidP="00CC23DA">
            <w:pPr>
              <w:spacing w:after="0"/>
              <w:jc w:val="center"/>
              <w:rPr>
                <w:rFonts w:ascii="Arial" w:hAnsi="Arial" w:cs="Arial"/>
                <w:b/>
                <w:color w:val="000000"/>
                <w:sz w:val="16"/>
                <w:szCs w:val="16"/>
                <w:lang w:eastAsia="ja-JP"/>
              </w:rPr>
            </w:pPr>
            <w:r>
              <w:rPr>
                <w:b/>
              </w:rPr>
              <w:sym w:font="Symbol" w:char="F044"/>
            </w:r>
            <w:r>
              <w:rPr>
                <w:b/>
              </w:rPr>
              <w:t xml:space="preserve"> </w:t>
            </w:r>
            <w:r>
              <w:rPr>
                <w:rFonts w:ascii="Arial" w:hAnsi="Arial" w:cs="Arial"/>
                <w:b/>
                <w:color w:val="000000"/>
                <w:sz w:val="16"/>
                <w:szCs w:val="16"/>
                <w:lang w:eastAsia="ja-JP"/>
              </w:rPr>
              <w:t>[PDCCH symbols]</w:t>
            </w:r>
          </w:p>
        </w:tc>
        <w:tc>
          <w:tcPr>
            <w:tcW w:w="1701" w:type="dxa"/>
            <w:vAlign w:val="center"/>
          </w:tcPr>
          <w:p w14:paraId="720AFD68" w14:textId="77777777" w:rsidR="00A03BD1" w:rsidRPr="008513DC" w:rsidRDefault="00A03BD1" w:rsidP="00CC23DA">
            <w:pPr>
              <w:spacing w:after="0"/>
              <w:jc w:val="center"/>
              <w:rPr>
                <w:b/>
              </w:rPr>
            </w:pPr>
            <w:r w:rsidRPr="008513DC">
              <w:rPr>
                <w:rFonts w:ascii="Arial" w:hAnsi="Arial" w:cs="Arial"/>
                <w:b/>
                <w:color w:val="000000"/>
                <w:sz w:val="16"/>
                <w:szCs w:val="16"/>
                <w:lang w:eastAsia="ja-JP"/>
              </w:rPr>
              <w:t>4 symbols</w:t>
            </w:r>
          </w:p>
        </w:tc>
        <w:tc>
          <w:tcPr>
            <w:tcW w:w="1701" w:type="dxa"/>
            <w:vAlign w:val="center"/>
          </w:tcPr>
          <w:p w14:paraId="2AA87372" w14:textId="77777777" w:rsidR="00A03BD1" w:rsidRPr="008513DC" w:rsidRDefault="00A03BD1" w:rsidP="00CC23DA">
            <w:pPr>
              <w:spacing w:after="0"/>
              <w:jc w:val="center"/>
              <w:rPr>
                <w:b/>
              </w:rPr>
            </w:pPr>
            <w:r w:rsidRPr="008513DC">
              <w:rPr>
                <w:rFonts w:ascii="Arial" w:hAnsi="Arial" w:cs="Arial"/>
                <w:b/>
                <w:color w:val="000000"/>
                <w:sz w:val="16"/>
                <w:szCs w:val="16"/>
                <w:lang w:eastAsia="ja-JP"/>
              </w:rPr>
              <w:t>4 symbols</w:t>
            </w:r>
          </w:p>
        </w:tc>
        <w:tc>
          <w:tcPr>
            <w:tcW w:w="1701" w:type="dxa"/>
            <w:vAlign w:val="center"/>
          </w:tcPr>
          <w:p w14:paraId="1B61AF36" w14:textId="77777777" w:rsidR="00A03BD1" w:rsidRPr="008513DC" w:rsidRDefault="00A03BD1" w:rsidP="00CC23DA">
            <w:pPr>
              <w:spacing w:after="0"/>
              <w:jc w:val="center"/>
              <w:rPr>
                <w:b/>
              </w:rPr>
            </w:pPr>
            <w:r w:rsidRPr="008513DC">
              <w:rPr>
                <w:rFonts w:ascii="Arial" w:hAnsi="Arial" w:cs="Arial"/>
                <w:b/>
                <w:color w:val="000000"/>
                <w:sz w:val="16"/>
                <w:szCs w:val="16"/>
                <w:lang w:eastAsia="ja-JP"/>
              </w:rPr>
              <w:t>8 symbols</w:t>
            </w:r>
          </w:p>
        </w:tc>
      </w:tr>
    </w:tbl>
    <w:p w14:paraId="09C88638" w14:textId="06991614" w:rsidR="00A93782" w:rsidRDefault="00A93782" w:rsidP="00A53B55">
      <w:pPr>
        <w:rPr>
          <w:lang w:eastAsia="zh-CN"/>
        </w:rPr>
      </w:pPr>
      <w:r>
        <w:rPr>
          <w:lang w:eastAsia="zh-CN"/>
        </w:rPr>
        <w:fldChar w:fldCharType="end"/>
      </w:r>
      <w:r>
        <w:rPr>
          <w:lang w:eastAsia="zh-CN"/>
        </w:rPr>
        <w:fldChar w:fldCharType="begin"/>
      </w:r>
      <w:r>
        <w:rPr>
          <w:lang w:eastAsia="zh-CN"/>
        </w:rPr>
        <w:instrText xml:space="preserve"> REF p2 \h </w:instrText>
      </w:r>
      <w:r>
        <w:rPr>
          <w:lang w:eastAsia="zh-CN"/>
        </w:rPr>
      </w:r>
      <w:r>
        <w:rPr>
          <w:lang w:eastAsia="zh-CN"/>
        </w:rPr>
        <w:fldChar w:fldCharType="separate"/>
      </w:r>
      <w:r w:rsidR="00A03BD1" w:rsidRPr="009D1F00">
        <w:rPr>
          <w:b/>
        </w:rPr>
        <w:t xml:space="preserve">Proposal </w:t>
      </w:r>
      <w:r w:rsidR="00A03BD1">
        <w:rPr>
          <w:b/>
          <w:noProof/>
        </w:rPr>
        <w:t>2</w:t>
      </w:r>
      <w:r w:rsidR="00A03BD1" w:rsidRPr="009D1F00">
        <w:rPr>
          <w:b/>
        </w:rPr>
        <w:t xml:space="preserve">: For the case of a lower SCS PDCCH scheduling a higher SCS PDSCH, </w:t>
      </w:r>
      <w:r w:rsidR="00A03BD1">
        <w:rPr>
          <w:b/>
        </w:rPr>
        <w:t xml:space="preserve">different sets of </w:t>
      </w:r>
      <w:r w:rsidR="00A03BD1" w:rsidRPr="009D1F00">
        <w:rPr>
          <w:b/>
        </w:rPr>
        <w:sym w:font="Symbol" w:char="F044"/>
      </w:r>
      <w:r w:rsidR="00A03BD1" w:rsidRPr="009D1F00">
        <w:rPr>
          <w:b/>
        </w:rPr>
        <w:t xml:space="preserve"> values </w:t>
      </w:r>
      <w:r w:rsidR="00A03BD1">
        <w:rPr>
          <w:b/>
        </w:rPr>
        <w:t xml:space="preserve">should be separately </w:t>
      </w:r>
      <w:r w:rsidR="00A03BD1" w:rsidRPr="009D1F00">
        <w:rPr>
          <w:b/>
        </w:rPr>
        <w:t xml:space="preserve">defined for </w:t>
      </w:r>
      <w:r w:rsidR="00A03BD1" w:rsidRPr="009D1F00">
        <w:rPr>
          <w:b/>
        </w:rPr>
        <w:t>PDCCH monitoring</w:t>
      </w:r>
      <w:r w:rsidR="00A03BD1">
        <w:rPr>
          <w:b/>
        </w:rPr>
        <w:t xml:space="preserve"> C</w:t>
      </w:r>
      <w:r w:rsidR="00A03BD1" w:rsidRPr="009D1F00">
        <w:rPr>
          <w:b/>
        </w:rPr>
        <w:t xml:space="preserve">ase 1-1, </w:t>
      </w:r>
      <w:r w:rsidR="00A03BD1">
        <w:rPr>
          <w:b/>
        </w:rPr>
        <w:t>C</w:t>
      </w:r>
      <w:r w:rsidR="00A03BD1" w:rsidRPr="009D1F00">
        <w:rPr>
          <w:b/>
        </w:rPr>
        <w:t xml:space="preserve">ase 1-2 and </w:t>
      </w:r>
      <w:r w:rsidR="00A03BD1">
        <w:rPr>
          <w:b/>
        </w:rPr>
        <w:t>C</w:t>
      </w:r>
      <w:r w:rsidR="00A03BD1" w:rsidRPr="009D1F00">
        <w:rPr>
          <w:b/>
        </w:rPr>
        <w:t>ase 2.</w:t>
      </w:r>
      <w:r w:rsidR="00A03BD1">
        <w:rPr>
          <w:b/>
        </w:rPr>
        <w:t xml:space="preserve"> Alternatively, a worst case set of </w:t>
      </w:r>
      <w:r w:rsidR="00A03BD1" w:rsidRPr="009D1F00">
        <w:rPr>
          <w:b/>
        </w:rPr>
        <w:sym w:font="Symbol" w:char="F044"/>
      </w:r>
      <w:r w:rsidR="00A03BD1" w:rsidRPr="009D1F00">
        <w:rPr>
          <w:b/>
        </w:rPr>
        <w:t xml:space="preserve"> values</w:t>
      </w:r>
      <w:r w:rsidR="00A03BD1">
        <w:rPr>
          <w:b/>
        </w:rPr>
        <w:t xml:space="preserve"> should be defined that work across all the supported PDCCH monitoring cases.</w:t>
      </w:r>
      <w:r>
        <w:rPr>
          <w:lang w:eastAsia="zh-CN"/>
        </w:rPr>
        <w:fldChar w:fldCharType="end"/>
      </w:r>
    </w:p>
    <w:p w14:paraId="33860F3A" w14:textId="7B51E59E" w:rsidR="00A93782" w:rsidRDefault="00A93782" w:rsidP="00A53B55">
      <w:pPr>
        <w:rPr>
          <w:lang w:eastAsia="zh-CN"/>
        </w:rPr>
      </w:pPr>
      <w:r>
        <w:rPr>
          <w:lang w:eastAsia="zh-CN"/>
        </w:rPr>
        <w:fldChar w:fldCharType="begin"/>
      </w:r>
      <w:r>
        <w:rPr>
          <w:lang w:eastAsia="zh-CN"/>
        </w:rPr>
        <w:instrText xml:space="preserve"> REF p3 \h </w:instrText>
      </w:r>
      <w:r>
        <w:rPr>
          <w:lang w:eastAsia="zh-CN"/>
        </w:rPr>
      </w:r>
      <w:r>
        <w:rPr>
          <w:lang w:eastAsia="zh-CN"/>
        </w:rPr>
        <w:fldChar w:fldCharType="separate"/>
      </w:r>
      <w:r w:rsidR="00A03BD1" w:rsidRPr="009D1F00">
        <w:rPr>
          <w:b/>
        </w:rPr>
        <w:t xml:space="preserve">Proposal </w:t>
      </w:r>
      <w:r w:rsidR="00A03BD1">
        <w:rPr>
          <w:b/>
          <w:noProof/>
        </w:rPr>
        <w:t>3</w:t>
      </w:r>
      <w:r w:rsidR="00A03BD1" w:rsidRPr="009D1F00">
        <w:rPr>
          <w:b/>
        </w:rPr>
        <w:t xml:space="preserve">: For the case of a lower SCS PDCCH scheduling a higher SCS PDSCH, </w:t>
      </w:r>
      <w:r w:rsidR="00A03BD1">
        <w:rPr>
          <w:b/>
        </w:rPr>
        <w:t>define the maximum number of DCIs that the UE is expected to decode in each span of PDCCH symbols.</w:t>
      </w:r>
      <w:r>
        <w:rPr>
          <w:lang w:eastAsia="zh-CN"/>
        </w:rPr>
        <w:fldChar w:fldCharType="end"/>
      </w:r>
    </w:p>
    <w:p w14:paraId="7F84C704" w14:textId="600B4CC3" w:rsidR="00A93782" w:rsidRDefault="00A93782" w:rsidP="00A53B55">
      <w:pPr>
        <w:rPr>
          <w:lang w:eastAsia="zh-CN"/>
        </w:rPr>
      </w:pPr>
      <w:r>
        <w:rPr>
          <w:lang w:eastAsia="zh-CN"/>
        </w:rPr>
        <w:fldChar w:fldCharType="begin"/>
      </w:r>
      <w:r>
        <w:rPr>
          <w:lang w:eastAsia="zh-CN"/>
        </w:rPr>
        <w:instrText xml:space="preserve"> REF p4 \h </w:instrText>
      </w:r>
      <w:r>
        <w:rPr>
          <w:lang w:eastAsia="zh-CN"/>
        </w:rPr>
      </w:r>
      <w:r>
        <w:rPr>
          <w:lang w:eastAsia="zh-CN"/>
        </w:rPr>
        <w:fldChar w:fldCharType="separate"/>
      </w:r>
      <w:r w:rsidR="00A03BD1" w:rsidRPr="009D1F00">
        <w:rPr>
          <w:b/>
        </w:rPr>
        <w:t xml:space="preserve">Proposal </w:t>
      </w:r>
      <w:r w:rsidR="00A03BD1">
        <w:rPr>
          <w:b/>
          <w:noProof/>
        </w:rPr>
        <w:t>4</w:t>
      </w:r>
      <w:r w:rsidR="00A03BD1" w:rsidRPr="009D1F00">
        <w:rPr>
          <w:b/>
        </w:rPr>
        <w:t xml:space="preserve">: For the case of a </w:t>
      </w:r>
      <w:r w:rsidR="00A03BD1">
        <w:rPr>
          <w:b/>
        </w:rPr>
        <w:t>higher</w:t>
      </w:r>
      <w:r w:rsidR="00A03BD1" w:rsidRPr="009D1F00">
        <w:rPr>
          <w:b/>
        </w:rPr>
        <w:t xml:space="preserve"> SCS PDCCH scheduling a </w:t>
      </w:r>
      <w:r w:rsidR="00A03BD1">
        <w:rPr>
          <w:b/>
        </w:rPr>
        <w:t>lower</w:t>
      </w:r>
      <w:r w:rsidR="00A03BD1" w:rsidRPr="009D1F00">
        <w:rPr>
          <w:b/>
        </w:rPr>
        <w:t xml:space="preserve"> SCS PDSCH, </w:t>
      </w:r>
      <w:r w:rsidR="00A03BD1">
        <w:rPr>
          <w:b/>
        </w:rPr>
        <w:t xml:space="preserve">use the same approach without quantization to define </w:t>
      </w:r>
      <m:oMath>
        <m:r>
          <m:rPr>
            <m:sty m:val="b"/>
          </m:rPr>
          <w:rPr>
            <w:rFonts w:ascii="Cambria Math" w:hAnsi="Cambria Math"/>
          </w:rPr>
          <m:t>Δ</m:t>
        </m:r>
      </m:oMath>
      <w:r w:rsidR="00A03BD1">
        <w:rPr>
          <w:b/>
        </w:rPr>
        <w:t xml:space="preserve"> as that of the </w:t>
      </w:r>
      <w:r w:rsidR="00A03BD1" w:rsidRPr="009D1F00">
        <w:rPr>
          <w:b/>
        </w:rPr>
        <w:t xml:space="preserve">case of a </w:t>
      </w:r>
      <w:r w:rsidR="00A03BD1">
        <w:rPr>
          <w:b/>
        </w:rPr>
        <w:t>lower</w:t>
      </w:r>
      <w:r w:rsidR="00A03BD1" w:rsidRPr="009D1F00">
        <w:rPr>
          <w:b/>
        </w:rPr>
        <w:t xml:space="preserve"> SCS PDCCH scheduling a </w:t>
      </w:r>
      <w:r w:rsidR="00A03BD1">
        <w:rPr>
          <w:b/>
        </w:rPr>
        <w:t>higher</w:t>
      </w:r>
      <w:r w:rsidR="00A03BD1" w:rsidRPr="009D1F00">
        <w:rPr>
          <w:b/>
        </w:rPr>
        <w:t xml:space="preserve"> SCS PDSCH</w:t>
      </w:r>
      <w:r w:rsidR="00A03BD1">
        <w:rPr>
          <w:b/>
        </w:rPr>
        <w:t>.</w:t>
      </w:r>
      <w:r>
        <w:rPr>
          <w:lang w:eastAsia="zh-CN"/>
        </w:rPr>
        <w:fldChar w:fldCharType="end"/>
      </w:r>
    </w:p>
    <w:p w14:paraId="2C0716FA" w14:textId="653C9C18" w:rsidR="00A93782" w:rsidRDefault="00A93782" w:rsidP="00A53B55">
      <w:pPr>
        <w:rPr>
          <w:lang w:eastAsia="zh-CN"/>
        </w:rPr>
      </w:pPr>
      <w:r>
        <w:rPr>
          <w:lang w:eastAsia="zh-CN"/>
        </w:rPr>
        <w:fldChar w:fldCharType="begin"/>
      </w:r>
      <w:r>
        <w:rPr>
          <w:lang w:eastAsia="zh-CN"/>
        </w:rPr>
        <w:instrText xml:space="preserve"> REF p5 \h </w:instrText>
      </w:r>
      <w:r>
        <w:rPr>
          <w:lang w:eastAsia="zh-CN"/>
        </w:rPr>
      </w:r>
      <w:r>
        <w:rPr>
          <w:lang w:eastAsia="zh-CN"/>
        </w:rPr>
        <w:fldChar w:fldCharType="separate"/>
      </w:r>
      <w:r w:rsidR="00A03BD1" w:rsidRPr="009D1F00">
        <w:rPr>
          <w:b/>
        </w:rPr>
        <w:t xml:space="preserve">Proposal </w:t>
      </w:r>
      <w:r w:rsidR="00A03BD1">
        <w:rPr>
          <w:b/>
          <w:noProof/>
        </w:rPr>
        <w:t>5</w:t>
      </w:r>
      <w:r w:rsidR="00A03BD1" w:rsidRPr="009D1F00">
        <w:rPr>
          <w:b/>
        </w:rPr>
        <w:t xml:space="preserve">: For the case of a </w:t>
      </w:r>
      <w:r w:rsidR="00A03BD1">
        <w:rPr>
          <w:b/>
        </w:rPr>
        <w:t>higher</w:t>
      </w:r>
      <w:r w:rsidR="00A03BD1" w:rsidRPr="009D1F00">
        <w:rPr>
          <w:b/>
        </w:rPr>
        <w:t xml:space="preserve"> SCS PDCCH scheduling a </w:t>
      </w:r>
      <w:r w:rsidR="00A03BD1">
        <w:rPr>
          <w:b/>
        </w:rPr>
        <w:t>lower</w:t>
      </w:r>
      <w:r w:rsidR="00A03BD1" w:rsidRPr="009D1F00">
        <w:rPr>
          <w:b/>
        </w:rPr>
        <w:t xml:space="preserve"> SCS PDSCH, </w:t>
      </w:r>
      <w:r w:rsidR="00A03BD1">
        <w:rPr>
          <w:b/>
        </w:rPr>
        <w:t>Case-2 PDCCH monitoring</w:t>
      </w:r>
      <w:r w:rsidR="00A03BD1">
        <w:rPr>
          <w:b/>
        </w:rPr>
        <w:t xml:space="preserve"> by the UE is not supported</w:t>
      </w:r>
      <w:r w:rsidR="00A03BD1">
        <w:rPr>
          <w:b/>
        </w:rPr>
        <w:t>.</w:t>
      </w:r>
      <w:r>
        <w:rPr>
          <w:lang w:eastAsia="zh-CN"/>
        </w:rPr>
        <w:fldChar w:fldCharType="end"/>
      </w:r>
    </w:p>
    <w:p w14:paraId="4AA0FFED" w14:textId="0EE95F2D" w:rsidR="00A93782" w:rsidRDefault="00A93782" w:rsidP="00A53B55">
      <w:pPr>
        <w:rPr>
          <w:lang w:eastAsia="zh-CN"/>
        </w:rPr>
      </w:pPr>
      <w:r>
        <w:rPr>
          <w:lang w:eastAsia="zh-CN"/>
        </w:rPr>
        <w:fldChar w:fldCharType="begin"/>
      </w:r>
      <w:r>
        <w:rPr>
          <w:lang w:eastAsia="zh-CN"/>
        </w:rPr>
        <w:instrText xml:space="preserve"> REF p6 \h </w:instrText>
      </w:r>
      <w:r>
        <w:rPr>
          <w:lang w:eastAsia="zh-CN"/>
        </w:rPr>
      </w:r>
      <w:r>
        <w:rPr>
          <w:lang w:eastAsia="zh-CN"/>
        </w:rPr>
        <w:fldChar w:fldCharType="separate"/>
      </w:r>
      <w:r w:rsidR="00A03BD1" w:rsidRPr="003C2035">
        <w:rPr>
          <w:b/>
        </w:rPr>
        <w:t xml:space="preserve">Proposal </w:t>
      </w:r>
      <w:r w:rsidR="00A03BD1">
        <w:rPr>
          <w:b/>
          <w:noProof/>
        </w:rPr>
        <w:t>6</w:t>
      </w:r>
      <w:r w:rsidR="00A03BD1" w:rsidRPr="003C2035">
        <w:rPr>
          <w:b/>
        </w:rPr>
        <w:t xml:space="preserve">: For the case of a </w:t>
      </w:r>
      <w:r w:rsidR="00A03BD1">
        <w:rPr>
          <w:b/>
        </w:rPr>
        <w:t>lower</w:t>
      </w:r>
      <w:r w:rsidR="00A03BD1" w:rsidRPr="003C2035">
        <w:rPr>
          <w:b/>
        </w:rPr>
        <w:t xml:space="preserve"> SCS PDCCH scheduling a </w:t>
      </w:r>
      <w:r w:rsidR="00A03BD1">
        <w:rPr>
          <w:b/>
        </w:rPr>
        <w:t>higher</w:t>
      </w:r>
      <w:r w:rsidR="00A03BD1" w:rsidRPr="003C2035">
        <w:rPr>
          <w:b/>
        </w:rPr>
        <w:t xml:space="preserve"> SCS PDSCH, </w:t>
      </w:r>
      <w:r w:rsidR="00A03BD1">
        <w:rPr>
          <w:b/>
        </w:rPr>
        <w:t>define</w:t>
      </w:r>
      <w:r w:rsidR="00A03BD1" w:rsidRPr="0012243C">
        <w:rPr>
          <w:b/>
        </w:rPr>
        <w:t xml:space="preserve"> a number of valid unicast DCIs</w:t>
      </w:r>
      <w:r w:rsidR="00A03BD1">
        <w:rPr>
          <w:b/>
        </w:rPr>
        <w:t xml:space="preserve"> for the scheduled cell</w:t>
      </w:r>
      <w:r w:rsidR="00A03BD1" w:rsidRPr="0012243C">
        <w:rPr>
          <w:b/>
        </w:rPr>
        <w:t xml:space="preserve"> per PDCCH slot </w:t>
      </w:r>
      <w:r w:rsidR="00A03BD1">
        <w:rPr>
          <w:b/>
        </w:rPr>
        <w:t xml:space="preserve">that is </w:t>
      </w:r>
      <w:r w:rsidR="00A03BD1" w:rsidRPr="0012243C">
        <w:rPr>
          <w:b/>
        </w:rPr>
        <w:t>larger than the number of unicast DCIs per PDSCH slot</w:t>
      </w:r>
      <w:r w:rsidR="00A03BD1" w:rsidRPr="003C2035">
        <w:rPr>
          <w:b/>
        </w:rPr>
        <w:t>.</w:t>
      </w:r>
      <w:r>
        <w:rPr>
          <w:lang w:eastAsia="zh-CN"/>
        </w:rPr>
        <w:fldChar w:fldCharType="end"/>
      </w:r>
    </w:p>
    <w:p w14:paraId="76ADECA4" w14:textId="31A855C0" w:rsidR="00A93782" w:rsidRPr="00C20AD7" w:rsidRDefault="00A93782" w:rsidP="00A53B55">
      <w:pPr>
        <w:rPr>
          <w:b/>
          <w:lang w:eastAsia="zh-CN"/>
        </w:rPr>
      </w:pPr>
      <w:r w:rsidRPr="00C20AD7">
        <w:rPr>
          <w:b/>
          <w:lang w:eastAsia="zh-CN"/>
        </w:rPr>
        <w:fldChar w:fldCharType="begin"/>
      </w:r>
      <w:r w:rsidRPr="00C20AD7">
        <w:rPr>
          <w:b/>
          <w:lang w:eastAsia="zh-CN"/>
        </w:rPr>
        <w:instrText xml:space="preserve"> REF p7 \h </w:instrText>
      </w:r>
      <w:r w:rsidR="00C20AD7">
        <w:rPr>
          <w:b/>
          <w:lang w:eastAsia="zh-CN"/>
        </w:rPr>
        <w:instrText xml:space="preserve"> \* MERGEFORMAT </w:instrText>
      </w:r>
      <w:r w:rsidRPr="00C20AD7">
        <w:rPr>
          <w:b/>
          <w:lang w:eastAsia="zh-CN"/>
        </w:rPr>
      </w:r>
      <w:r w:rsidRPr="00C20AD7">
        <w:rPr>
          <w:b/>
          <w:lang w:eastAsia="zh-CN"/>
        </w:rPr>
        <w:fldChar w:fldCharType="separate"/>
      </w:r>
      <w:r w:rsidR="00A03BD1" w:rsidRPr="00A03BD1">
        <w:rPr>
          <w:b/>
        </w:rPr>
        <w:t xml:space="preserve">Proposal </w:t>
      </w:r>
      <w:r w:rsidR="00A03BD1" w:rsidRPr="00A03BD1">
        <w:rPr>
          <w:b/>
          <w:noProof/>
        </w:rPr>
        <w:t>7</w:t>
      </w:r>
      <w:r w:rsidR="00A03BD1" w:rsidRPr="00A03BD1">
        <w:rPr>
          <w:b/>
        </w:rPr>
        <w:t xml:space="preserve">: </w:t>
      </w:r>
      <w:r w:rsidR="00A03BD1" w:rsidRPr="00A03BD1">
        <w:rPr>
          <w:b/>
          <w:lang w:val="en-GB"/>
        </w:rPr>
        <w:t xml:space="preserve">For the case where SCC in FR2 is cross carrier scheduled via DCI from a different carrier, dummy CORESET(s) can be configured in the SCC. If the offset between the reception of the DL DCI corresponding to the cross-carrier scheduled PDSCH is less than a threshold, the UE may assume the default beam for PDSCH </w:t>
      </w:r>
      <w:r w:rsidR="00A03BD1" w:rsidRPr="00A03BD1">
        <w:rPr>
          <w:b/>
          <w:lang w:val="en-GB"/>
        </w:rPr>
        <w:lastRenderedPageBreak/>
        <w:t xml:space="preserve">reception is associated with the TCI state associated with the dummy CORESET(s) in slots where the associated search space sets are configured in the scheduled </w:t>
      </w:r>
      <w:r w:rsidR="00A03BD1" w:rsidRPr="00A93782">
        <w:rPr>
          <w:lang w:val="en-GB"/>
        </w:rPr>
        <w:t>cell.</w:t>
      </w:r>
      <w:r w:rsidRPr="00C20AD7">
        <w:rPr>
          <w:b/>
          <w:lang w:eastAsia="zh-CN"/>
        </w:rPr>
        <w:fldChar w:fldCharType="end"/>
      </w:r>
    </w:p>
    <w:p w14:paraId="100E5DD8" w14:textId="372C8C66" w:rsidR="00387D4C" w:rsidRDefault="00387D4C" w:rsidP="00387D4C">
      <w:pPr>
        <w:pStyle w:val="Heading1"/>
      </w:pPr>
      <w:r>
        <w:t>References</w:t>
      </w:r>
    </w:p>
    <w:p w14:paraId="711BF15D" w14:textId="42E1055C" w:rsidR="00217003" w:rsidRDefault="0059763A" w:rsidP="00D91479">
      <w:pPr>
        <w:numPr>
          <w:ilvl w:val="0"/>
          <w:numId w:val="10"/>
        </w:numPr>
        <w:textAlignment w:val="auto"/>
        <w:rPr>
          <w:lang w:val="en-GB"/>
        </w:rPr>
      </w:pPr>
      <w:bookmarkStart w:id="12" w:name="_Ref4770519"/>
      <w:r w:rsidRPr="00D91479">
        <w:rPr>
          <w:lang w:val="en-GB"/>
        </w:rPr>
        <w:t xml:space="preserve">R1-1814277, </w:t>
      </w:r>
      <w:r w:rsidR="00F3239A" w:rsidRPr="00D91479">
        <w:rPr>
          <w:lang w:val="en-GB"/>
        </w:rPr>
        <w:t>“</w:t>
      </w:r>
      <w:r w:rsidR="00C3582F" w:rsidRPr="00D91479">
        <w:rPr>
          <w:lang w:val="en-GB"/>
        </w:rPr>
        <w:t>Rel-15 RAN1 NR UE features</w:t>
      </w:r>
      <w:r w:rsidR="00F3239A" w:rsidRPr="00D91479">
        <w:rPr>
          <w:lang w:val="en-GB"/>
        </w:rPr>
        <w:t xml:space="preserve">”, </w:t>
      </w:r>
      <w:r w:rsidR="00FA5D56" w:rsidRPr="004A450F">
        <w:rPr>
          <w:lang w:val="en-GB"/>
        </w:rPr>
        <w:t xml:space="preserve">RAN1#95, </w:t>
      </w:r>
      <w:r w:rsidR="00426C22" w:rsidRPr="004A450F">
        <w:rPr>
          <w:lang w:val="en-GB"/>
        </w:rPr>
        <w:t>NTT DOCOMO, AT&amp;T</w:t>
      </w:r>
      <w:bookmarkEnd w:id="12"/>
    </w:p>
    <w:p w14:paraId="4D9778D5" w14:textId="1F64BD3D" w:rsidR="008E005E" w:rsidRDefault="008E005E" w:rsidP="00D91479">
      <w:pPr>
        <w:numPr>
          <w:ilvl w:val="0"/>
          <w:numId w:val="10"/>
        </w:numPr>
        <w:textAlignment w:val="auto"/>
        <w:rPr>
          <w:lang w:val="en-GB"/>
        </w:rPr>
      </w:pPr>
      <w:bookmarkStart w:id="13" w:name="_Ref4783412"/>
      <w:r w:rsidRPr="008E005E">
        <w:rPr>
          <w:lang w:val="en-GB"/>
        </w:rPr>
        <w:t>R1-1905032</w:t>
      </w:r>
      <w:r>
        <w:rPr>
          <w:lang w:val="en-GB"/>
        </w:rPr>
        <w:t>, “</w:t>
      </w:r>
      <w:r w:rsidRPr="008E005E">
        <w:rPr>
          <w:lang w:val="en-GB"/>
        </w:rPr>
        <w:t>Cross-slot scheduling power saving techniques</w:t>
      </w:r>
      <w:r>
        <w:rPr>
          <w:lang w:val="en-GB"/>
        </w:rPr>
        <w:t>”, RAN1#96bis, Qualcomm.</w:t>
      </w:r>
      <w:bookmarkEnd w:id="13"/>
    </w:p>
    <w:p w14:paraId="76BC81FB" w14:textId="06604580" w:rsidR="005A13FE" w:rsidRDefault="00110D29" w:rsidP="00D91479">
      <w:pPr>
        <w:numPr>
          <w:ilvl w:val="0"/>
          <w:numId w:val="10"/>
        </w:numPr>
        <w:textAlignment w:val="auto"/>
        <w:rPr>
          <w:lang w:val="en-GB"/>
        </w:rPr>
      </w:pPr>
      <w:bookmarkStart w:id="14" w:name="_Ref7730320"/>
      <w:r>
        <w:rPr>
          <w:lang w:val="en-GB"/>
        </w:rPr>
        <w:t>R1-1905279, “Cross carrier scheduling with different numerologies”, RAN1#96bis, Qualcomm.</w:t>
      </w:r>
      <w:bookmarkEnd w:id="14"/>
    </w:p>
    <w:p w14:paraId="26B8A2D4" w14:textId="144B6CF2" w:rsidR="003719FB" w:rsidRDefault="003719FB" w:rsidP="003719FB">
      <w:pPr>
        <w:textAlignment w:val="auto"/>
        <w:rPr>
          <w:lang w:val="en-GB"/>
        </w:rPr>
      </w:pPr>
    </w:p>
    <w:p w14:paraId="2C9F2FCB" w14:textId="65134FA6" w:rsidR="003719FB" w:rsidRDefault="003719FB" w:rsidP="003719FB">
      <w:pPr>
        <w:pStyle w:val="Heading1"/>
      </w:pPr>
      <w:r>
        <w:t>Appendix</w:t>
      </w:r>
    </w:p>
    <w:p w14:paraId="30E37D08" w14:textId="14464E27" w:rsidR="003719FB" w:rsidRDefault="003719FB" w:rsidP="003719FB">
      <w:pPr>
        <w:pStyle w:val="Heading2"/>
      </w:pPr>
      <w:r>
        <w:t>Detailed b</w:t>
      </w:r>
      <w:r w:rsidRPr="003719FB">
        <w:t>uffering requirement and timeline analysis</w:t>
      </w:r>
    </w:p>
    <w:p w14:paraId="6830D92D" w14:textId="762D5FC8" w:rsidR="003719FB" w:rsidRPr="003719FB" w:rsidRDefault="003719FB" w:rsidP="003719FB">
      <w:pPr>
        <w:rPr>
          <w:i/>
          <w:lang w:val="en-GB"/>
        </w:rPr>
      </w:pPr>
      <w:r>
        <w:rPr>
          <w:i/>
          <w:lang w:val="en-GB"/>
        </w:rPr>
        <w:t>(This section is resubmission from the contribution R1-1903026 for last meeting)</w:t>
      </w:r>
    </w:p>
    <w:p w14:paraId="65DB6FC4" w14:textId="4D934C2E" w:rsidR="003719FB" w:rsidRDefault="003719FB" w:rsidP="003719FB">
      <w:pPr>
        <w:rPr>
          <w:lang w:val="en-GB"/>
        </w:rPr>
      </w:pPr>
      <w:r>
        <w:rPr>
          <w:lang w:val="en-GB"/>
        </w:rPr>
        <w:t>For the scenario in which a carrier with smaller SCS schedules another carrier with larger SCS, it has been shown that if no additional scheduling offset (for PDSCH relative to PDCCH) is put in place, extra buffering would be required. It is common understanding that the scheduling offset can be defined such that the buffering requirement would not exceed the self-scheduling case. In the strictest form, such scheduling offset requirement can be expressed in symbol-level granularity. In this section, detailed timeline analysis and buffering requirement analysis are shown, to help us understand the factors impacting the timeline, buffering requirement, and the required scheduling offset to maintain the same buffering requirement on the UE.</w:t>
      </w:r>
    </w:p>
    <w:p w14:paraId="2E5B95A2" w14:textId="77777777" w:rsidR="003719FB" w:rsidRPr="003719FB" w:rsidRDefault="003719FB" w:rsidP="003719FB">
      <w:pPr>
        <w:rPr>
          <w:lang w:val="en-GB"/>
        </w:rPr>
      </w:pPr>
      <w:r w:rsidRPr="003719FB">
        <w:rPr>
          <w:lang w:val="en-GB"/>
        </w:rPr>
        <w:t>More specifically, assume certain amount of memory is already provisioned for self-scheduling for certain number of PDCCH symbols and PDCCH processing delay (i.e. the self-scheduling baseline), to support cross-carrier scheduling without extra memory requirement, the required scheduling offset, as defined in terms of the time offset between the earliest starting point for PDSCH and the end of the last PDCCH symbol, can be determined based on the following factors:</w:t>
      </w:r>
    </w:p>
    <w:p w14:paraId="0A88431E" w14:textId="77777777" w:rsidR="003719FB" w:rsidRPr="003719FB" w:rsidRDefault="003719FB" w:rsidP="003719FB">
      <w:pPr>
        <w:pStyle w:val="ListParagraph"/>
        <w:numPr>
          <w:ilvl w:val="0"/>
          <w:numId w:val="63"/>
        </w:numPr>
      </w:pPr>
      <w:r w:rsidRPr="003719FB">
        <w:t>Difference in the end of last PDCCH symbol between the self-scheduling baseline and the cross-carrier scheduling case</w:t>
      </w:r>
    </w:p>
    <w:p w14:paraId="28839284" w14:textId="77777777" w:rsidR="003719FB" w:rsidRPr="003719FB" w:rsidRDefault="003719FB" w:rsidP="003719FB">
      <w:pPr>
        <w:pStyle w:val="ListParagraph"/>
        <w:numPr>
          <w:ilvl w:val="0"/>
          <w:numId w:val="63"/>
        </w:numPr>
      </w:pPr>
      <w:r w:rsidRPr="003719FB">
        <w:t>Difference in PDCCH processing time between the self-scheduling baseline and the cross-carrier scheduling case</w:t>
      </w:r>
    </w:p>
    <w:p w14:paraId="5A98A9C5" w14:textId="77777777" w:rsidR="003719FB" w:rsidRPr="003719FB" w:rsidRDefault="003719FB" w:rsidP="003719FB">
      <w:pPr>
        <w:pStyle w:val="ListParagraph"/>
        <w:numPr>
          <w:ilvl w:val="0"/>
          <w:numId w:val="63"/>
        </w:numPr>
      </w:pPr>
      <w:r w:rsidRPr="003719FB">
        <w:t>Whether memory is provisioned for the full BW in the symbols where PDSCH and PDCCH are frequency-multiplexed for the self-scheduling baseline</w:t>
      </w:r>
    </w:p>
    <w:p w14:paraId="2DB5BFE9" w14:textId="77777777" w:rsidR="003719FB" w:rsidRPr="003719FB" w:rsidRDefault="003719FB" w:rsidP="003719FB">
      <w:pPr>
        <w:pStyle w:val="ListParagraph"/>
        <w:numPr>
          <w:ilvl w:val="0"/>
          <w:numId w:val="63"/>
        </w:numPr>
      </w:pPr>
      <w:r w:rsidRPr="003719FB">
        <w:t xml:space="preserve">Any other timing difference not already accounted for in the above (e.g. carrier timing difference such that the scheduling carrier is delayed </w:t>
      </w:r>
      <w:proofErr w:type="spellStart"/>
      <w:r w:rsidRPr="003719FB">
        <w:t>w.r.t.</w:t>
      </w:r>
      <w:proofErr w:type="spellEnd"/>
      <w:r w:rsidRPr="003719FB">
        <w:t xml:space="preserve"> to the scheduled carrier)</w:t>
      </w:r>
    </w:p>
    <w:p w14:paraId="30902337" w14:textId="77777777" w:rsidR="003719FB" w:rsidRDefault="003719FB" w:rsidP="003719FB">
      <w:pPr>
        <w:rPr>
          <w:lang w:val="en-GB"/>
        </w:rPr>
      </w:pPr>
    </w:p>
    <w:p w14:paraId="24A3B918" w14:textId="77777777" w:rsidR="003719FB" w:rsidRDefault="003719FB" w:rsidP="003719FB">
      <w:pPr>
        <w:rPr>
          <w:lang w:val="en-GB"/>
        </w:rPr>
      </w:pPr>
      <w:r>
        <w:rPr>
          <w:lang w:val="en-GB"/>
        </w:rPr>
        <w:t>It would help the discussion to look at an example illustrated below. The self-scheduling baseline has the following timeline and buffering characteristics:</w:t>
      </w:r>
    </w:p>
    <w:p w14:paraId="38008577" w14:textId="77777777" w:rsidR="003719FB" w:rsidRPr="00F62C14" w:rsidRDefault="003719FB" w:rsidP="003719FB">
      <w:pPr>
        <w:rPr>
          <w:lang w:val="en-GB"/>
        </w:rPr>
      </w:pPr>
      <w:r>
        <w:rPr>
          <w:lang w:val="en-GB"/>
        </w:rPr>
        <w:object w:dxaOrig="11095" w:dyaOrig="9784" w14:anchorId="761A311F">
          <v:shape id="_x0000_i1030" type="#_x0000_t75" style="width:417.6pt;height:5in" o:ole="">
            <v:imagedata r:id="rId22" o:title="" cropbottom="11680f" cropright="10880f"/>
          </v:shape>
          <o:OLEObject Type="Embed" ProgID="Visio.Drawing.11" ShapeID="_x0000_i1030" DrawAspect="Content" ObjectID="_1618412637" r:id="rId23"/>
        </w:object>
      </w:r>
    </w:p>
    <w:p w14:paraId="070D0578" w14:textId="77777777" w:rsidR="003719FB" w:rsidRDefault="003719FB" w:rsidP="003719FB">
      <w:pPr>
        <w:rPr>
          <w:lang w:val="en-GB"/>
        </w:rPr>
      </w:pPr>
      <w:r>
        <w:rPr>
          <w:lang w:val="en-GB"/>
        </w:rPr>
        <w:t>Above can be easily extended to Type B PDSCH allocation, for which PDSCH has to start after the end of the PDCCH. This means there is no frequency-multiplexing of PDSCH and its associated PDCCH. Above discussion is also not limited to PDCCH position Case 1 and is generally applicable to Case 1-2, and Case 2 as well.</w:t>
      </w:r>
    </w:p>
    <w:p w14:paraId="19977AE7" w14:textId="77777777" w:rsidR="003719FB" w:rsidRDefault="003719FB" w:rsidP="003719FB">
      <w:pPr>
        <w:rPr>
          <w:lang w:val="en-GB"/>
        </w:rPr>
      </w:pPr>
      <w:r>
        <w:rPr>
          <w:lang w:val="en-GB"/>
        </w:rPr>
        <w:t>The earliest starting point of PDSCH, with respect to the end of the last PDCCH symbol on the scheduling carrier, can be calculated based on the following expression:</w:t>
      </w:r>
    </w:p>
    <w:p w14:paraId="6352AD22" w14:textId="77777777" w:rsidR="003719FB" w:rsidRDefault="003719FB" w:rsidP="003719FB">
      <w:pPr>
        <w:jc w:val="center"/>
        <w:rPr>
          <w:lang w:val="en-GB"/>
        </w:rPr>
      </w:pPr>
      <w:proofErr w:type="spellStart"/>
      <w:r>
        <w:rPr>
          <w:lang w:val="en-GB"/>
        </w:rPr>
        <w:t>T_earliest_PDSCH</w:t>
      </w:r>
      <w:proofErr w:type="spellEnd"/>
      <w:r>
        <w:rPr>
          <w:lang w:val="en-GB"/>
        </w:rPr>
        <w:t xml:space="preserve"> = T1+T2+T3+T4</w:t>
      </w:r>
    </w:p>
    <w:p w14:paraId="75C8DA8C" w14:textId="77777777" w:rsidR="003719FB" w:rsidRDefault="003719FB" w:rsidP="003719FB">
      <w:pPr>
        <w:rPr>
          <w:lang w:val="en-GB"/>
        </w:rPr>
      </w:pPr>
      <w:r>
        <w:rPr>
          <w:lang w:val="en-GB"/>
        </w:rPr>
        <w:t>Where</w:t>
      </w:r>
    </w:p>
    <w:tbl>
      <w:tblPr>
        <w:tblStyle w:val="TableGrid"/>
        <w:tblW w:w="0" w:type="auto"/>
        <w:tblLook w:val="04A0" w:firstRow="1" w:lastRow="0" w:firstColumn="1" w:lastColumn="0" w:noHBand="0" w:noVBand="1"/>
      </w:tblPr>
      <w:tblGrid>
        <w:gridCol w:w="1161"/>
        <w:gridCol w:w="6664"/>
        <w:gridCol w:w="1803"/>
      </w:tblGrid>
      <w:tr w:rsidR="003719FB" w14:paraId="66FBB135" w14:textId="77777777" w:rsidTr="00F952AF">
        <w:tc>
          <w:tcPr>
            <w:tcW w:w="1161" w:type="dxa"/>
          </w:tcPr>
          <w:p w14:paraId="35752DF6" w14:textId="77777777" w:rsidR="003719FB" w:rsidRDefault="003719FB" w:rsidP="00F952AF">
            <w:pPr>
              <w:jc w:val="left"/>
              <w:rPr>
                <w:b/>
                <w:lang w:val="en-GB"/>
              </w:rPr>
            </w:pPr>
            <w:r>
              <w:rPr>
                <w:b/>
                <w:lang w:val="en-GB"/>
              </w:rPr>
              <w:t>Time</w:t>
            </w:r>
          </w:p>
          <w:p w14:paraId="6B710F01" w14:textId="77777777" w:rsidR="003719FB" w:rsidRPr="00F62C14" w:rsidRDefault="003719FB" w:rsidP="00F952AF">
            <w:pPr>
              <w:jc w:val="left"/>
              <w:rPr>
                <w:b/>
                <w:lang w:val="en-GB"/>
              </w:rPr>
            </w:pPr>
            <w:r>
              <w:rPr>
                <w:b/>
                <w:lang w:val="en-GB"/>
              </w:rPr>
              <w:t>component</w:t>
            </w:r>
          </w:p>
        </w:tc>
        <w:tc>
          <w:tcPr>
            <w:tcW w:w="6664" w:type="dxa"/>
          </w:tcPr>
          <w:p w14:paraId="6B5994FE" w14:textId="77777777" w:rsidR="003719FB" w:rsidRPr="00F62C14" w:rsidRDefault="003719FB" w:rsidP="00F952AF">
            <w:pPr>
              <w:jc w:val="left"/>
              <w:rPr>
                <w:b/>
                <w:lang w:val="en-GB"/>
              </w:rPr>
            </w:pPr>
            <w:r w:rsidRPr="00F62C14">
              <w:rPr>
                <w:b/>
                <w:lang w:val="en-GB"/>
              </w:rPr>
              <w:t>Description</w:t>
            </w:r>
          </w:p>
        </w:tc>
        <w:tc>
          <w:tcPr>
            <w:tcW w:w="1803" w:type="dxa"/>
          </w:tcPr>
          <w:p w14:paraId="66B5C962" w14:textId="77777777" w:rsidR="003719FB" w:rsidRPr="00F62C14" w:rsidRDefault="003719FB" w:rsidP="00F952AF">
            <w:pPr>
              <w:jc w:val="left"/>
              <w:rPr>
                <w:b/>
                <w:lang w:val="en-GB"/>
              </w:rPr>
            </w:pPr>
            <w:r w:rsidRPr="00F62C14">
              <w:rPr>
                <w:b/>
                <w:lang w:val="en-GB"/>
              </w:rPr>
              <w:t xml:space="preserve">Value (in number of </w:t>
            </w:r>
            <w:proofErr w:type="gramStart"/>
            <w:r w:rsidRPr="00F62C14">
              <w:rPr>
                <w:b/>
                <w:lang w:val="en-GB"/>
              </w:rPr>
              <w:t xml:space="preserve">slots)  </w:t>
            </w:r>
            <w:r>
              <w:rPr>
                <w:b/>
                <w:lang w:val="en-GB"/>
              </w:rPr>
              <w:t>for</w:t>
            </w:r>
            <w:proofErr w:type="gramEnd"/>
            <w:r w:rsidRPr="00F62C14">
              <w:rPr>
                <w:b/>
                <w:lang w:val="en-GB"/>
              </w:rPr>
              <w:t xml:space="preserve"> above example</w:t>
            </w:r>
          </w:p>
        </w:tc>
      </w:tr>
      <w:tr w:rsidR="003719FB" w14:paraId="2C011435" w14:textId="77777777" w:rsidTr="00F952AF">
        <w:tc>
          <w:tcPr>
            <w:tcW w:w="1161" w:type="dxa"/>
          </w:tcPr>
          <w:p w14:paraId="60CA1AB7" w14:textId="77777777" w:rsidR="003719FB" w:rsidRDefault="003719FB" w:rsidP="00F952AF">
            <w:pPr>
              <w:rPr>
                <w:lang w:val="en-GB"/>
              </w:rPr>
            </w:pPr>
            <w:r>
              <w:rPr>
                <w:lang w:val="en-GB"/>
              </w:rPr>
              <w:t>T1</w:t>
            </w:r>
          </w:p>
        </w:tc>
        <w:tc>
          <w:tcPr>
            <w:tcW w:w="6664" w:type="dxa"/>
          </w:tcPr>
          <w:p w14:paraId="446FBDDD" w14:textId="77777777" w:rsidR="003719FB" w:rsidRDefault="003719FB" w:rsidP="00F952AF">
            <w:pPr>
              <w:rPr>
                <w:lang w:val="en-GB"/>
              </w:rPr>
            </w:pPr>
            <w:r>
              <w:rPr>
                <w:lang w:val="en-GB"/>
              </w:rPr>
              <w:t>The timing offset from the end of the last PDCCH symbol for the self-scheduling baseline to the earliest starting point of PDSCH</w:t>
            </w:r>
          </w:p>
          <w:p w14:paraId="0DD3A9E5" w14:textId="77777777" w:rsidR="003719FB" w:rsidRDefault="003719FB" w:rsidP="00F952AF">
            <w:pPr>
              <w:rPr>
                <w:lang w:val="en-GB"/>
              </w:rPr>
            </w:pPr>
            <w:r>
              <w:rPr>
                <w:lang w:val="en-GB"/>
              </w:rPr>
              <w:t>For Type B PDSCH allocation, T1 = 0</w:t>
            </w:r>
          </w:p>
        </w:tc>
        <w:tc>
          <w:tcPr>
            <w:tcW w:w="1803" w:type="dxa"/>
          </w:tcPr>
          <w:p w14:paraId="0C296B2B" w14:textId="77777777" w:rsidR="003719FB" w:rsidRDefault="003719FB" w:rsidP="00F952AF">
            <w:pPr>
              <w:rPr>
                <w:lang w:val="en-GB"/>
              </w:rPr>
            </w:pPr>
            <w:r>
              <w:rPr>
                <w:lang w:val="en-GB"/>
              </w:rPr>
              <w:t>-2</w:t>
            </w:r>
          </w:p>
        </w:tc>
      </w:tr>
      <w:tr w:rsidR="003719FB" w14:paraId="6E839671" w14:textId="77777777" w:rsidTr="00F952AF">
        <w:tc>
          <w:tcPr>
            <w:tcW w:w="1161" w:type="dxa"/>
          </w:tcPr>
          <w:p w14:paraId="407108F3" w14:textId="77777777" w:rsidR="003719FB" w:rsidRDefault="003719FB" w:rsidP="00F952AF">
            <w:pPr>
              <w:rPr>
                <w:lang w:val="en-GB"/>
              </w:rPr>
            </w:pPr>
            <w:r>
              <w:rPr>
                <w:lang w:val="en-GB"/>
              </w:rPr>
              <w:t>T2</w:t>
            </w:r>
          </w:p>
        </w:tc>
        <w:tc>
          <w:tcPr>
            <w:tcW w:w="6664" w:type="dxa"/>
          </w:tcPr>
          <w:p w14:paraId="4B7127FF" w14:textId="77777777" w:rsidR="003719FB" w:rsidRDefault="003719FB" w:rsidP="00F952AF">
            <w:pPr>
              <w:rPr>
                <w:lang w:val="en-GB"/>
              </w:rPr>
            </w:pPr>
            <w:r>
              <w:rPr>
                <w:lang w:val="en-GB"/>
              </w:rPr>
              <w:t>Incremental PDCCH processing delay (for cross-carrier scheduling compared to self-scheduling)</w:t>
            </w:r>
          </w:p>
        </w:tc>
        <w:tc>
          <w:tcPr>
            <w:tcW w:w="1803" w:type="dxa"/>
          </w:tcPr>
          <w:p w14:paraId="4F1833AF" w14:textId="77777777" w:rsidR="003719FB" w:rsidRDefault="003719FB" w:rsidP="00F952AF">
            <w:pPr>
              <w:rPr>
                <w:lang w:val="en-GB"/>
              </w:rPr>
            </w:pPr>
            <w:r>
              <w:rPr>
                <w:lang w:val="en-GB"/>
              </w:rPr>
              <w:t>1</w:t>
            </w:r>
          </w:p>
        </w:tc>
      </w:tr>
      <w:tr w:rsidR="003719FB" w14:paraId="208A4BC8" w14:textId="77777777" w:rsidTr="00F952AF">
        <w:tc>
          <w:tcPr>
            <w:tcW w:w="1161" w:type="dxa"/>
          </w:tcPr>
          <w:p w14:paraId="492F4D09" w14:textId="77777777" w:rsidR="003719FB" w:rsidRDefault="003719FB" w:rsidP="00F952AF">
            <w:pPr>
              <w:rPr>
                <w:lang w:val="en-GB"/>
              </w:rPr>
            </w:pPr>
            <w:r>
              <w:rPr>
                <w:lang w:val="en-GB"/>
              </w:rPr>
              <w:t>T3</w:t>
            </w:r>
          </w:p>
        </w:tc>
        <w:tc>
          <w:tcPr>
            <w:tcW w:w="6664" w:type="dxa"/>
          </w:tcPr>
          <w:p w14:paraId="36AB1FF9" w14:textId="77777777" w:rsidR="003719FB" w:rsidRDefault="003719FB" w:rsidP="00F952AF">
            <w:pPr>
              <w:rPr>
                <w:lang w:val="en-GB"/>
              </w:rPr>
            </w:pPr>
            <w:r>
              <w:rPr>
                <w:lang w:val="en-GB"/>
              </w:rPr>
              <w:t>Number of symbols to skip due to memory constraints (e.g. memory is not provisioned for the full PDSCH BW for the self-scheduling baseline for the symbols where PDCCH and PDSCH multiplex)</w:t>
            </w:r>
          </w:p>
          <w:p w14:paraId="5DF654CB" w14:textId="77777777" w:rsidR="003719FB" w:rsidRDefault="003719FB" w:rsidP="00F952AF">
            <w:pPr>
              <w:rPr>
                <w:lang w:val="en-GB"/>
              </w:rPr>
            </w:pPr>
            <w:r>
              <w:rPr>
                <w:lang w:val="en-GB"/>
              </w:rPr>
              <w:lastRenderedPageBreak/>
              <w:t>Typically, for Type A PDSCH allocation, T1+T3 = 0</w:t>
            </w:r>
          </w:p>
          <w:p w14:paraId="4E1FD892" w14:textId="77777777" w:rsidR="003719FB" w:rsidRDefault="003719FB" w:rsidP="00F952AF">
            <w:pPr>
              <w:rPr>
                <w:lang w:val="en-GB"/>
              </w:rPr>
            </w:pPr>
            <w:r>
              <w:rPr>
                <w:lang w:val="en-GB"/>
              </w:rPr>
              <w:t>For Type B PDSCH allocation, T3 = 0, and T1+T3 = 0</w:t>
            </w:r>
          </w:p>
        </w:tc>
        <w:tc>
          <w:tcPr>
            <w:tcW w:w="1803" w:type="dxa"/>
          </w:tcPr>
          <w:p w14:paraId="36C4374D" w14:textId="77777777" w:rsidR="003719FB" w:rsidRDefault="003719FB" w:rsidP="00F952AF">
            <w:pPr>
              <w:rPr>
                <w:lang w:val="en-GB"/>
              </w:rPr>
            </w:pPr>
            <w:r>
              <w:rPr>
                <w:lang w:val="en-GB"/>
              </w:rPr>
              <w:lastRenderedPageBreak/>
              <w:t>2</w:t>
            </w:r>
          </w:p>
        </w:tc>
      </w:tr>
      <w:tr w:rsidR="003719FB" w14:paraId="75496317" w14:textId="77777777" w:rsidTr="00F952AF">
        <w:tc>
          <w:tcPr>
            <w:tcW w:w="1161" w:type="dxa"/>
          </w:tcPr>
          <w:p w14:paraId="748A0415" w14:textId="77777777" w:rsidR="003719FB" w:rsidRDefault="003719FB" w:rsidP="00F952AF">
            <w:pPr>
              <w:rPr>
                <w:lang w:val="en-GB"/>
              </w:rPr>
            </w:pPr>
            <w:r>
              <w:rPr>
                <w:lang w:val="en-GB"/>
              </w:rPr>
              <w:t>T4</w:t>
            </w:r>
          </w:p>
        </w:tc>
        <w:tc>
          <w:tcPr>
            <w:tcW w:w="6664" w:type="dxa"/>
          </w:tcPr>
          <w:p w14:paraId="6DCB7DF5" w14:textId="77777777" w:rsidR="003719FB" w:rsidRDefault="003719FB" w:rsidP="00F952AF">
            <w:pPr>
              <w:rPr>
                <w:lang w:val="en-GB"/>
              </w:rPr>
            </w:pPr>
            <w:r>
              <w:rPr>
                <w:lang w:val="en-GB"/>
              </w:rPr>
              <w:t>Any other timing difference / time margin</w:t>
            </w:r>
          </w:p>
          <w:p w14:paraId="32AC023C" w14:textId="77777777" w:rsidR="003719FB" w:rsidRDefault="003719FB" w:rsidP="00F952AF">
            <w:pPr>
              <w:rPr>
                <w:lang w:val="en-GB"/>
              </w:rPr>
            </w:pPr>
            <w:r>
              <w:rPr>
                <w:lang w:val="en-GB"/>
              </w:rPr>
              <w:t>(time margin can be due to UE implementation)</w:t>
            </w:r>
          </w:p>
        </w:tc>
        <w:tc>
          <w:tcPr>
            <w:tcW w:w="1803" w:type="dxa"/>
          </w:tcPr>
          <w:p w14:paraId="0BDE96BC" w14:textId="77777777" w:rsidR="003719FB" w:rsidRDefault="003719FB" w:rsidP="00F952AF">
            <w:pPr>
              <w:rPr>
                <w:lang w:val="en-GB"/>
              </w:rPr>
            </w:pPr>
            <w:r>
              <w:rPr>
                <w:lang w:val="en-GB"/>
              </w:rPr>
              <w:t>0</w:t>
            </w:r>
          </w:p>
        </w:tc>
      </w:tr>
    </w:tbl>
    <w:p w14:paraId="1B6B5D6C" w14:textId="77777777" w:rsidR="003719FB" w:rsidRDefault="003719FB" w:rsidP="003719FB">
      <w:pPr>
        <w:rPr>
          <w:lang w:val="en-GB"/>
        </w:rPr>
      </w:pPr>
    </w:p>
    <w:p w14:paraId="3A4E168B" w14:textId="6F2EFFCC" w:rsidR="006F2311" w:rsidRDefault="003719FB" w:rsidP="006F2311">
      <w:pPr>
        <w:textAlignment w:val="auto"/>
        <w:rPr>
          <w:lang w:val="en-GB"/>
        </w:rPr>
      </w:pPr>
      <w:r w:rsidRPr="003719FB">
        <w:rPr>
          <w:lang w:val="en-GB"/>
        </w:rPr>
        <w:t>Even for Type A PDSCH allocation, the memory provisioned for the N symbols where PDCCH and PDSCH potentially frequency-multiplex for the self-scheduling baseline may not be capable to support the full buffering of N PDSCH-only symbols for the cross-carrier scheduling case. As a result, it is practical to assume the earliest starting point of PDSCH should be later than the end of the last PDCCH symbol.</w:t>
      </w:r>
    </w:p>
    <w:p w14:paraId="1B0F7201" w14:textId="2D412DF7" w:rsidR="003719FB" w:rsidRPr="003719FB" w:rsidRDefault="003719FB" w:rsidP="003719FB">
      <w:pPr>
        <w:rPr>
          <w:lang w:val="en-GB"/>
        </w:rPr>
      </w:pPr>
      <w:r>
        <w:rPr>
          <w:lang w:val="en-GB"/>
        </w:rPr>
        <w:t xml:space="preserve">With the above assumption, T1 is always equal to T3, </w:t>
      </w:r>
      <w:r w:rsidR="00F952AF">
        <w:rPr>
          <w:lang w:val="en-GB"/>
        </w:rPr>
        <w:t xml:space="preserve">and if we assume </w:t>
      </w:r>
      <w:r>
        <w:rPr>
          <w:lang w:val="en-GB"/>
        </w:rPr>
        <w:t xml:space="preserve">T4=0, the required scheduling </w:t>
      </w:r>
      <w:r w:rsidR="00F952AF">
        <w:rPr>
          <w:lang w:val="en-GB"/>
        </w:rPr>
        <w:t xml:space="preserve">offset </w:t>
      </w:r>
      <w:r>
        <w:rPr>
          <w:lang w:val="en-GB"/>
        </w:rPr>
        <w:t>is simply T2</w:t>
      </w:r>
      <w:r w:rsidR="00F952AF">
        <w:rPr>
          <w:lang w:val="en-GB"/>
        </w:rPr>
        <w:t>. Practically, a time margin should be added to account for other implementation imperfections.</w:t>
      </w:r>
    </w:p>
    <w:p w14:paraId="79183037" w14:textId="77777777" w:rsidR="003719FB" w:rsidRDefault="003719FB" w:rsidP="006F2311">
      <w:pPr>
        <w:rPr>
          <w:lang w:val="en-GB"/>
        </w:rPr>
      </w:pPr>
    </w:p>
    <w:p w14:paraId="4E246C00" w14:textId="77777777" w:rsidR="004A45A9" w:rsidRDefault="004A45A9" w:rsidP="00587FD7">
      <w:pPr>
        <w:textAlignment w:val="auto"/>
        <w:rPr>
          <w:lang w:val="en-GB"/>
        </w:rPr>
      </w:pPr>
    </w:p>
    <w:sectPr w:rsidR="004A45A9" w:rsidSect="008331BB">
      <w:headerReference w:type="even" r:id="rId24"/>
      <w:footerReference w:type="even" r:id="rId25"/>
      <w:footerReference w:type="default" r:id="rId26"/>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D615D" w14:textId="77777777" w:rsidR="00CC23DA" w:rsidRDefault="00CC23DA">
      <w:r>
        <w:separator/>
      </w:r>
    </w:p>
  </w:endnote>
  <w:endnote w:type="continuationSeparator" w:id="0">
    <w:p w14:paraId="3B769774" w14:textId="77777777" w:rsidR="00CC23DA" w:rsidRDefault="00CC23DA">
      <w:r>
        <w:continuationSeparator/>
      </w:r>
    </w:p>
  </w:endnote>
  <w:endnote w:type="continuationNotice" w:id="1">
    <w:p w14:paraId="57DAF49D" w14:textId="77777777" w:rsidR="00CC23DA" w:rsidRDefault="00CC23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CC23DA" w:rsidRDefault="00CC23D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CC23DA" w:rsidRDefault="00CC23D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CC23DA" w:rsidRDefault="00CC23D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B5DAD" w14:textId="77777777" w:rsidR="00CC23DA" w:rsidRDefault="00CC23DA">
      <w:r>
        <w:separator/>
      </w:r>
    </w:p>
  </w:footnote>
  <w:footnote w:type="continuationSeparator" w:id="0">
    <w:p w14:paraId="4293E23A" w14:textId="77777777" w:rsidR="00CC23DA" w:rsidRDefault="00CC23DA">
      <w:r>
        <w:continuationSeparator/>
      </w:r>
    </w:p>
  </w:footnote>
  <w:footnote w:type="continuationNotice" w:id="1">
    <w:p w14:paraId="3416CB9B" w14:textId="77777777" w:rsidR="00CC23DA" w:rsidRDefault="00CC23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CC23DA" w:rsidRDefault="00CC23D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B57802"/>
    <w:multiLevelType w:val="hybridMultilevel"/>
    <w:tmpl w:val="CFEAC4DE"/>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4A287C"/>
    <w:multiLevelType w:val="hybridMultilevel"/>
    <w:tmpl w:val="C27A7688"/>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154A3"/>
    <w:multiLevelType w:val="hybridMultilevel"/>
    <w:tmpl w:val="45AC5CF8"/>
    <w:lvl w:ilvl="0" w:tplc="58F290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8E003B"/>
    <w:multiLevelType w:val="hybridMultilevel"/>
    <w:tmpl w:val="A8265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5C6F09"/>
    <w:multiLevelType w:val="multilevel"/>
    <w:tmpl w:val="2CC04E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9930F30"/>
    <w:multiLevelType w:val="hybridMultilevel"/>
    <w:tmpl w:val="626661EE"/>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0C7320"/>
    <w:multiLevelType w:val="hybridMultilevel"/>
    <w:tmpl w:val="CCCE9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113065"/>
    <w:multiLevelType w:val="multilevel"/>
    <w:tmpl w:val="0B11306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C536D33"/>
    <w:multiLevelType w:val="hybridMultilevel"/>
    <w:tmpl w:val="1004AE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FCB1780"/>
    <w:multiLevelType w:val="hybridMultilevel"/>
    <w:tmpl w:val="E45C4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D54A7D"/>
    <w:multiLevelType w:val="hybridMultilevel"/>
    <w:tmpl w:val="BA58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31703"/>
    <w:multiLevelType w:val="hybridMultilevel"/>
    <w:tmpl w:val="1CAC5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D045DD"/>
    <w:multiLevelType w:val="hybridMultilevel"/>
    <w:tmpl w:val="617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DE5EFD"/>
    <w:multiLevelType w:val="multilevel"/>
    <w:tmpl w:val="13DE5EF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2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9FF1287"/>
    <w:multiLevelType w:val="hybridMultilevel"/>
    <w:tmpl w:val="ED78D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573C74"/>
    <w:multiLevelType w:val="hybridMultilevel"/>
    <w:tmpl w:val="EC0E9A40"/>
    <w:lvl w:ilvl="0" w:tplc="0F8CAE26">
      <w:start w:val="1"/>
      <w:numFmt w:val="bullet"/>
      <w:lvlText w:val="◦"/>
      <w:lvlJc w:val="left"/>
      <w:pPr>
        <w:tabs>
          <w:tab w:val="num" w:pos="360"/>
        </w:tabs>
        <w:ind w:left="360" w:hanging="360"/>
      </w:pPr>
      <w:rPr>
        <w:rFonts w:ascii="Microsoft Sans Serif" w:hAnsi="Microsoft Sans Serif" w:hint="default"/>
      </w:rPr>
    </w:lvl>
    <w:lvl w:ilvl="1" w:tplc="81003E1E">
      <w:start w:val="1"/>
      <w:numFmt w:val="bullet"/>
      <w:lvlText w:val="◦"/>
      <w:lvlJc w:val="left"/>
      <w:pPr>
        <w:tabs>
          <w:tab w:val="num" w:pos="1080"/>
        </w:tabs>
        <w:ind w:left="1080" w:hanging="360"/>
      </w:pPr>
      <w:rPr>
        <w:rFonts w:ascii="Microsoft Sans Serif" w:hAnsi="Microsoft Sans Serif" w:hint="default"/>
      </w:rPr>
    </w:lvl>
    <w:lvl w:ilvl="2" w:tplc="90F6AE2C">
      <w:start w:val="254"/>
      <w:numFmt w:val="bullet"/>
      <w:lvlText w:val="•"/>
      <w:lvlJc w:val="left"/>
      <w:pPr>
        <w:tabs>
          <w:tab w:val="num" w:pos="1800"/>
        </w:tabs>
        <w:ind w:left="1800" w:hanging="360"/>
      </w:pPr>
      <w:rPr>
        <w:rFonts w:ascii="Microsoft Sans Serif" w:hAnsi="Microsoft Sans Serif" w:hint="default"/>
      </w:rPr>
    </w:lvl>
    <w:lvl w:ilvl="3" w:tplc="7B701442" w:tentative="1">
      <w:start w:val="1"/>
      <w:numFmt w:val="bullet"/>
      <w:lvlText w:val="◦"/>
      <w:lvlJc w:val="left"/>
      <w:pPr>
        <w:tabs>
          <w:tab w:val="num" w:pos="2520"/>
        </w:tabs>
        <w:ind w:left="2520" w:hanging="360"/>
      </w:pPr>
      <w:rPr>
        <w:rFonts w:ascii="Microsoft Sans Serif" w:hAnsi="Microsoft Sans Serif" w:hint="default"/>
      </w:rPr>
    </w:lvl>
    <w:lvl w:ilvl="4" w:tplc="99B423C4" w:tentative="1">
      <w:start w:val="1"/>
      <w:numFmt w:val="bullet"/>
      <w:lvlText w:val="◦"/>
      <w:lvlJc w:val="left"/>
      <w:pPr>
        <w:tabs>
          <w:tab w:val="num" w:pos="3240"/>
        </w:tabs>
        <w:ind w:left="3240" w:hanging="360"/>
      </w:pPr>
      <w:rPr>
        <w:rFonts w:ascii="Microsoft Sans Serif" w:hAnsi="Microsoft Sans Serif" w:hint="default"/>
      </w:rPr>
    </w:lvl>
    <w:lvl w:ilvl="5" w:tplc="93221F72" w:tentative="1">
      <w:start w:val="1"/>
      <w:numFmt w:val="bullet"/>
      <w:lvlText w:val="◦"/>
      <w:lvlJc w:val="left"/>
      <w:pPr>
        <w:tabs>
          <w:tab w:val="num" w:pos="3960"/>
        </w:tabs>
        <w:ind w:left="3960" w:hanging="360"/>
      </w:pPr>
      <w:rPr>
        <w:rFonts w:ascii="Microsoft Sans Serif" w:hAnsi="Microsoft Sans Serif" w:hint="default"/>
      </w:rPr>
    </w:lvl>
    <w:lvl w:ilvl="6" w:tplc="A9BE6470" w:tentative="1">
      <w:start w:val="1"/>
      <w:numFmt w:val="bullet"/>
      <w:lvlText w:val="◦"/>
      <w:lvlJc w:val="left"/>
      <w:pPr>
        <w:tabs>
          <w:tab w:val="num" w:pos="4680"/>
        </w:tabs>
        <w:ind w:left="4680" w:hanging="360"/>
      </w:pPr>
      <w:rPr>
        <w:rFonts w:ascii="Microsoft Sans Serif" w:hAnsi="Microsoft Sans Serif" w:hint="default"/>
      </w:rPr>
    </w:lvl>
    <w:lvl w:ilvl="7" w:tplc="76448E4A" w:tentative="1">
      <w:start w:val="1"/>
      <w:numFmt w:val="bullet"/>
      <w:lvlText w:val="◦"/>
      <w:lvlJc w:val="left"/>
      <w:pPr>
        <w:tabs>
          <w:tab w:val="num" w:pos="5400"/>
        </w:tabs>
        <w:ind w:left="5400" w:hanging="360"/>
      </w:pPr>
      <w:rPr>
        <w:rFonts w:ascii="Microsoft Sans Serif" w:hAnsi="Microsoft Sans Serif" w:hint="default"/>
      </w:rPr>
    </w:lvl>
    <w:lvl w:ilvl="8" w:tplc="19D69998" w:tentative="1">
      <w:start w:val="1"/>
      <w:numFmt w:val="bullet"/>
      <w:lvlText w:val="◦"/>
      <w:lvlJc w:val="left"/>
      <w:pPr>
        <w:tabs>
          <w:tab w:val="num" w:pos="6120"/>
        </w:tabs>
        <w:ind w:left="6120" w:hanging="360"/>
      </w:pPr>
      <w:rPr>
        <w:rFonts w:ascii="Microsoft Sans Serif" w:hAnsi="Microsoft Sans Serif" w:hint="default"/>
      </w:rPr>
    </w:lvl>
  </w:abstractNum>
  <w:abstractNum w:abstractNumId="23" w15:restartNumberingAfterBreak="0">
    <w:nsid w:val="1E057006"/>
    <w:multiLevelType w:val="hybridMultilevel"/>
    <w:tmpl w:val="D3DE6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964029"/>
    <w:multiLevelType w:val="hybridMultilevel"/>
    <w:tmpl w:val="508C8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2E3E97"/>
    <w:multiLevelType w:val="hybridMultilevel"/>
    <w:tmpl w:val="1EB423F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253F29CD"/>
    <w:multiLevelType w:val="hybridMultilevel"/>
    <w:tmpl w:val="679EA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4B461C"/>
    <w:multiLevelType w:val="hybridMultilevel"/>
    <w:tmpl w:val="414E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507D5"/>
    <w:multiLevelType w:val="hybridMultilevel"/>
    <w:tmpl w:val="F904D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7A7BE0"/>
    <w:multiLevelType w:val="hybridMultilevel"/>
    <w:tmpl w:val="49049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EB4F17"/>
    <w:multiLevelType w:val="hybridMultilevel"/>
    <w:tmpl w:val="12FCD12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8E456B"/>
    <w:multiLevelType w:val="hybridMultilevel"/>
    <w:tmpl w:val="B3462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32397787"/>
    <w:multiLevelType w:val="hybridMultilevel"/>
    <w:tmpl w:val="92FEA422"/>
    <w:lvl w:ilvl="0" w:tplc="5C92D8F0">
      <w:start w:val="2"/>
      <w:numFmt w:val="bullet"/>
      <w:lvlText w:val="-"/>
      <w:lvlJc w:val="left"/>
      <w:pPr>
        <w:ind w:left="720" w:hanging="360"/>
      </w:pPr>
      <w:rPr>
        <w:rFonts w:ascii="Times New Roman" w:eastAsia="SimSun" w:hAnsi="Times New Roman" w:cs="Times New Roman" w:hint="default"/>
      </w:rPr>
    </w:lvl>
    <w:lvl w:ilvl="1" w:tplc="5C92D8F0">
      <w:start w:val="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6A28A7"/>
    <w:multiLevelType w:val="hybridMultilevel"/>
    <w:tmpl w:val="7D0EF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8071653"/>
    <w:multiLevelType w:val="hybridMultilevel"/>
    <w:tmpl w:val="4E129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AA918AA"/>
    <w:multiLevelType w:val="hybridMultilevel"/>
    <w:tmpl w:val="D8FE1F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B626BFB"/>
    <w:multiLevelType w:val="hybridMultilevel"/>
    <w:tmpl w:val="9634F6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3CB82644"/>
    <w:multiLevelType w:val="hybridMultilevel"/>
    <w:tmpl w:val="52C49A42"/>
    <w:lvl w:ilvl="0" w:tplc="5C92D8F0">
      <w:start w:val="2"/>
      <w:numFmt w:val="bullet"/>
      <w:lvlText w:val="-"/>
      <w:lvlJc w:val="left"/>
      <w:pPr>
        <w:ind w:left="1512" w:hanging="360"/>
      </w:pPr>
      <w:rPr>
        <w:rFonts w:ascii="Times New Roman" w:eastAsia="SimSun" w:hAnsi="Times New Roman" w:cs="Times New Roman"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44" w15:restartNumberingAfterBreak="0">
    <w:nsid w:val="3FD815F7"/>
    <w:multiLevelType w:val="hybridMultilevel"/>
    <w:tmpl w:val="2E7C8F78"/>
    <w:lvl w:ilvl="0" w:tplc="A51C8C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1A04D6D"/>
    <w:multiLevelType w:val="hybridMultilevel"/>
    <w:tmpl w:val="94144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21E2CEA"/>
    <w:multiLevelType w:val="hybridMultilevel"/>
    <w:tmpl w:val="6D0E2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38F0E67"/>
    <w:multiLevelType w:val="hybridMultilevel"/>
    <w:tmpl w:val="6F5A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53965AF"/>
    <w:multiLevelType w:val="hybridMultilevel"/>
    <w:tmpl w:val="5C4EA1A8"/>
    <w:lvl w:ilvl="0" w:tplc="49F24CE2">
      <w:start w:val="1"/>
      <w:numFmt w:val="bullet"/>
      <w:lvlText w:val="•"/>
      <w:lvlJc w:val="left"/>
      <w:pPr>
        <w:tabs>
          <w:tab w:val="num" w:pos="720"/>
        </w:tabs>
        <w:ind w:left="720" w:hanging="360"/>
      </w:pPr>
      <w:rPr>
        <w:rFonts w:ascii="Microsoft Sans Serif" w:hAnsi="Microsoft Sans Serif" w:hint="default"/>
      </w:rPr>
    </w:lvl>
    <w:lvl w:ilvl="1" w:tplc="D5128FB0" w:tentative="1">
      <w:start w:val="1"/>
      <w:numFmt w:val="bullet"/>
      <w:lvlText w:val="•"/>
      <w:lvlJc w:val="left"/>
      <w:pPr>
        <w:tabs>
          <w:tab w:val="num" w:pos="1440"/>
        </w:tabs>
        <w:ind w:left="1440" w:hanging="360"/>
      </w:pPr>
      <w:rPr>
        <w:rFonts w:ascii="Microsoft Sans Serif" w:hAnsi="Microsoft Sans Serif" w:hint="default"/>
      </w:rPr>
    </w:lvl>
    <w:lvl w:ilvl="2" w:tplc="EDEE4200">
      <w:start w:val="1"/>
      <w:numFmt w:val="bullet"/>
      <w:lvlText w:val="•"/>
      <w:lvlJc w:val="left"/>
      <w:pPr>
        <w:tabs>
          <w:tab w:val="num" w:pos="2160"/>
        </w:tabs>
        <w:ind w:left="2160" w:hanging="360"/>
      </w:pPr>
      <w:rPr>
        <w:rFonts w:ascii="Microsoft Sans Serif" w:hAnsi="Microsoft Sans Serif" w:hint="default"/>
      </w:rPr>
    </w:lvl>
    <w:lvl w:ilvl="3" w:tplc="54E8C9B4" w:tentative="1">
      <w:start w:val="1"/>
      <w:numFmt w:val="bullet"/>
      <w:lvlText w:val="•"/>
      <w:lvlJc w:val="left"/>
      <w:pPr>
        <w:tabs>
          <w:tab w:val="num" w:pos="2880"/>
        </w:tabs>
        <w:ind w:left="2880" w:hanging="360"/>
      </w:pPr>
      <w:rPr>
        <w:rFonts w:ascii="Microsoft Sans Serif" w:hAnsi="Microsoft Sans Serif" w:hint="default"/>
      </w:rPr>
    </w:lvl>
    <w:lvl w:ilvl="4" w:tplc="94BA39BA" w:tentative="1">
      <w:start w:val="1"/>
      <w:numFmt w:val="bullet"/>
      <w:lvlText w:val="•"/>
      <w:lvlJc w:val="left"/>
      <w:pPr>
        <w:tabs>
          <w:tab w:val="num" w:pos="3600"/>
        </w:tabs>
        <w:ind w:left="3600" w:hanging="360"/>
      </w:pPr>
      <w:rPr>
        <w:rFonts w:ascii="Microsoft Sans Serif" w:hAnsi="Microsoft Sans Serif" w:hint="default"/>
      </w:rPr>
    </w:lvl>
    <w:lvl w:ilvl="5" w:tplc="0F14E88A" w:tentative="1">
      <w:start w:val="1"/>
      <w:numFmt w:val="bullet"/>
      <w:lvlText w:val="•"/>
      <w:lvlJc w:val="left"/>
      <w:pPr>
        <w:tabs>
          <w:tab w:val="num" w:pos="4320"/>
        </w:tabs>
        <w:ind w:left="4320" w:hanging="360"/>
      </w:pPr>
      <w:rPr>
        <w:rFonts w:ascii="Microsoft Sans Serif" w:hAnsi="Microsoft Sans Serif" w:hint="default"/>
      </w:rPr>
    </w:lvl>
    <w:lvl w:ilvl="6" w:tplc="941EF1DA" w:tentative="1">
      <w:start w:val="1"/>
      <w:numFmt w:val="bullet"/>
      <w:lvlText w:val="•"/>
      <w:lvlJc w:val="left"/>
      <w:pPr>
        <w:tabs>
          <w:tab w:val="num" w:pos="5040"/>
        </w:tabs>
        <w:ind w:left="5040" w:hanging="360"/>
      </w:pPr>
      <w:rPr>
        <w:rFonts w:ascii="Microsoft Sans Serif" w:hAnsi="Microsoft Sans Serif" w:hint="default"/>
      </w:rPr>
    </w:lvl>
    <w:lvl w:ilvl="7" w:tplc="C18246B8" w:tentative="1">
      <w:start w:val="1"/>
      <w:numFmt w:val="bullet"/>
      <w:lvlText w:val="•"/>
      <w:lvlJc w:val="left"/>
      <w:pPr>
        <w:tabs>
          <w:tab w:val="num" w:pos="5760"/>
        </w:tabs>
        <w:ind w:left="5760" w:hanging="360"/>
      </w:pPr>
      <w:rPr>
        <w:rFonts w:ascii="Microsoft Sans Serif" w:hAnsi="Microsoft Sans Serif" w:hint="default"/>
      </w:rPr>
    </w:lvl>
    <w:lvl w:ilvl="8" w:tplc="9344168C" w:tentative="1">
      <w:start w:val="1"/>
      <w:numFmt w:val="bullet"/>
      <w:lvlText w:val="•"/>
      <w:lvlJc w:val="left"/>
      <w:pPr>
        <w:tabs>
          <w:tab w:val="num" w:pos="6480"/>
        </w:tabs>
        <w:ind w:left="6480" w:hanging="360"/>
      </w:pPr>
      <w:rPr>
        <w:rFonts w:ascii="Microsoft Sans Serif" w:hAnsi="Microsoft Sans Serif" w:hint="default"/>
      </w:rPr>
    </w:lvl>
  </w:abstractNum>
  <w:abstractNum w:abstractNumId="50" w15:restartNumberingAfterBreak="0">
    <w:nsid w:val="46A1562C"/>
    <w:multiLevelType w:val="hybridMultilevel"/>
    <w:tmpl w:val="33223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8B34413"/>
    <w:multiLevelType w:val="hybridMultilevel"/>
    <w:tmpl w:val="9C260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3" w15:restartNumberingAfterBreak="0">
    <w:nsid w:val="4C324CA8"/>
    <w:multiLevelType w:val="hybridMultilevel"/>
    <w:tmpl w:val="4ACCD342"/>
    <w:lvl w:ilvl="0" w:tplc="65EC744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D89357B"/>
    <w:multiLevelType w:val="hybridMultilevel"/>
    <w:tmpl w:val="E01056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EFB2E14"/>
    <w:multiLevelType w:val="hybridMultilevel"/>
    <w:tmpl w:val="F08A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F7B576F"/>
    <w:multiLevelType w:val="hybridMultilevel"/>
    <w:tmpl w:val="F04AE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6250FC5"/>
    <w:multiLevelType w:val="hybridMultilevel"/>
    <w:tmpl w:val="5CC69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6DD2D4C"/>
    <w:multiLevelType w:val="hybridMultilevel"/>
    <w:tmpl w:val="F552D84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1" w15:restartNumberingAfterBreak="0">
    <w:nsid w:val="5C1A15A1"/>
    <w:multiLevelType w:val="hybridMultilevel"/>
    <w:tmpl w:val="099AD798"/>
    <w:lvl w:ilvl="0" w:tplc="705262F6">
      <w:start w:val="1"/>
      <w:numFmt w:val="bullet"/>
      <w:lvlText w:val="◦"/>
      <w:lvlJc w:val="left"/>
      <w:pPr>
        <w:tabs>
          <w:tab w:val="num" w:pos="360"/>
        </w:tabs>
        <w:ind w:left="360" w:hanging="360"/>
      </w:pPr>
      <w:rPr>
        <w:rFonts w:ascii="Microsoft Sans Serif" w:hAnsi="Microsoft Sans Serif" w:hint="default"/>
      </w:rPr>
    </w:lvl>
    <w:lvl w:ilvl="1" w:tplc="DBBAF0AE">
      <w:start w:val="1"/>
      <w:numFmt w:val="bullet"/>
      <w:lvlText w:val="◦"/>
      <w:lvlJc w:val="left"/>
      <w:pPr>
        <w:tabs>
          <w:tab w:val="num" w:pos="1080"/>
        </w:tabs>
        <w:ind w:left="1080" w:hanging="360"/>
      </w:pPr>
      <w:rPr>
        <w:rFonts w:ascii="Microsoft Sans Serif" w:hAnsi="Microsoft Sans Serif" w:hint="default"/>
      </w:rPr>
    </w:lvl>
    <w:lvl w:ilvl="2" w:tplc="D2466932" w:tentative="1">
      <w:start w:val="1"/>
      <w:numFmt w:val="bullet"/>
      <w:lvlText w:val="◦"/>
      <w:lvlJc w:val="left"/>
      <w:pPr>
        <w:tabs>
          <w:tab w:val="num" w:pos="1800"/>
        </w:tabs>
        <w:ind w:left="1800" w:hanging="360"/>
      </w:pPr>
      <w:rPr>
        <w:rFonts w:ascii="Microsoft Sans Serif" w:hAnsi="Microsoft Sans Serif" w:hint="default"/>
      </w:rPr>
    </w:lvl>
    <w:lvl w:ilvl="3" w:tplc="154C5354" w:tentative="1">
      <w:start w:val="1"/>
      <w:numFmt w:val="bullet"/>
      <w:lvlText w:val="◦"/>
      <w:lvlJc w:val="left"/>
      <w:pPr>
        <w:tabs>
          <w:tab w:val="num" w:pos="2520"/>
        </w:tabs>
        <w:ind w:left="2520" w:hanging="360"/>
      </w:pPr>
      <w:rPr>
        <w:rFonts w:ascii="Microsoft Sans Serif" w:hAnsi="Microsoft Sans Serif" w:hint="default"/>
      </w:rPr>
    </w:lvl>
    <w:lvl w:ilvl="4" w:tplc="4AC4B3FE" w:tentative="1">
      <w:start w:val="1"/>
      <w:numFmt w:val="bullet"/>
      <w:lvlText w:val="◦"/>
      <w:lvlJc w:val="left"/>
      <w:pPr>
        <w:tabs>
          <w:tab w:val="num" w:pos="3240"/>
        </w:tabs>
        <w:ind w:left="3240" w:hanging="360"/>
      </w:pPr>
      <w:rPr>
        <w:rFonts w:ascii="Microsoft Sans Serif" w:hAnsi="Microsoft Sans Serif" w:hint="default"/>
      </w:rPr>
    </w:lvl>
    <w:lvl w:ilvl="5" w:tplc="A5322070" w:tentative="1">
      <w:start w:val="1"/>
      <w:numFmt w:val="bullet"/>
      <w:lvlText w:val="◦"/>
      <w:lvlJc w:val="left"/>
      <w:pPr>
        <w:tabs>
          <w:tab w:val="num" w:pos="3960"/>
        </w:tabs>
        <w:ind w:left="3960" w:hanging="360"/>
      </w:pPr>
      <w:rPr>
        <w:rFonts w:ascii="Microsoft Sans Serif" w:hAnsi="Microsoft Sans Serif" w:hint="default"/>
      </w:rPr>
    </w:lvl>
    <w:lvl w:ilvl="6" w:tplc="EF9E0366" w:tentative="1">
      <w:start w:val="1"/>
      <w:numFmt w:val="bullet"/>
      <w:lvlText w:val="◦"/>
      <w:lvlJc w:val="left"/>
      <w:pPr>
        <w:tabs>
          <w:tab w:val="num" w:pos="4680"/>
        </w:tabs>
        <w:ind w:left="4680" w:hanging="360"/>
      </w:pPr>
      <w:rPr>
        <w:rFonts w:ascii="Microsoft Sans Serif" w:hAnsi="Microsoft Sans Serif" w:hint="default"/>
      </w:rPr>
    </w:lvl>
    <w:lvl w:ilvl="7" w:tplc="C4FA5ABE" w:tentative="1">
      <w:start w:val="1"/>
      <w:numFmt w:val="bullet"/>
      <w:lvlText w:val="◦"/>
      <w:lvlJc w:val="left"/>
      <w:pPr>
        <w:tabs>
          <w:tab w:val="num" w:pos="5400"/>
        </w:tabs>
        <w:ind w:left="5400" w:hanging="360"/>
      </w:pPr>
      <w:rPr>
        <w:rFonts w:ascii="Microsoft Sans Serif" w:hAnsi="Microsoft Sans Serif" w:hint="default"/>
      </w:rPr>
    </w:lvl>
    <w:lvl w:ilvl="8" w:tplc="86247360" w:tentative="1">
      <w:start w:val="1"/>
      <w:numFmt w:val="bullet"/>
      <w:lvlText w:val="◦"/>
      <w:lvlJc w:val="left"/>
      <w:pPr>
        <w:tabs>
          <w:tab w:val="num" w:pos="6120"/>
        </w:tabs>
        <w:ind w:left="6120" w:hanging="360"/>
      </w:pPr>
      <w:rPr>
        <w:rFonts w:ascii="Microsoft Sans Serif" w:hAnsi="Microsoft Sans Serif" w:hint="default"/>
      </w:rPr>
    </w:lvl>
  </w:abstractNum>
  <w:abstractNum w:abstractNumId="62"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D5F5A3D"/>
    <w:multiLevelType w:val="hybridMultilevel"/>
    <w:tmpl w:val="23888462"/>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64" w15:restartNumberingAfterBreak="0">
    <w:nsid w:val="6061348A"/>
    <w:multiLevelType w:val="hybridMultilevel"/>
    <w:tmpl w:val="648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1D31A39"/>
    <w:multiLevelType w:val="hybridMultilevel"/>
    <w:tmpl w:val="6C183312"/>
    <w:lvl w:ilvl="0" w:tplc="A676AA02">
      <w:start w:val="1"/>
      <w:numFmt w:val="bullet"/>
      <w:lvlText w:val=""/>
      <w:lvlJc w:val="left"/>
      <w:pPr>
        <w:tabs>
          <w:tab w:val="num" w:pos="720"/>
        </w:tabs>
        <w:ind w:left="720" w:hanging="360"/>
      </w:pPr>
      <w:rPr>
        <w:rFonts w:ascii="Symbol" w:hAnsi="Symbol" w:hint="default"/>
      </w:rPr>
    </w:lvl>
    <w:lvl w:ilvl="1" w:tplc="7E6EA448">
      <w:start w:val="168"/>
      <w:numFmt w:val="bullet"/>
      <w:lvlText w:val="−"/>
      <w:lvlJc w:val="left"/>
      <w:pPr>
        <w:tabs>
          <w:tab w:val="num" w:pos="1440"/>
        </w:tabs>
        <w:ind w:left="1440" w:hanging="360"/>
      </w:pPr>
      <w:rPr>
        <w:rFonts w:ascii="Calibre Regular" w:hAnsi="Calibre Regular" w:hint="default"/>
      </w:rPr>
    </w:lvl>
    <w:lvl w:ilvl="2" w:tplc="CC3A60C8" w:tentative="1">
      <w:start w:val="1"/>
      <w:numFmt w:val="bullet"/>
      <w:lvlText w:val=""/>
      <w:lvlJc w:val="left"/>
      <w:pPr>
        <w:tabs>
          <w:tab w:val="num" w:pos="2160"/>
        </w:tabs>
        <w:ind w:left="2160" w:hanging="360"/>
      </w:pPr>
      <w:rPr>
        <w:rFonts w:ascii="Symbol" w:hAnsi="Symbol" w:hint="default"/>
      </w:rPr>
    </w:lvl>
    <w:lvl w:ilvl="3" w:tplc="63448AC0" w:tentative="1">
      <w:start w:val="1"/>
      <w:numFmt w:val="bullet"/>
      <w:lvlText w:val=""/>
      <w:lvlJc w:val="left"/>
      <w:pPr>
        <w:tabs>
          <w:tab w:val="num" w:pos="2880"/>
        </w:tabs>
        <w:ind w:left="2880" w:hanging="360"/>
      </w:pPr>
      <w:rPr>
        <w:rFonts w:ascii="Symbol" w:hAnsi="Symbol" w:hint="default"/>
      </w:rPr>
    </w:lvl>
    <w:lvl w:ilvl="4" w:tplc="61C666AA" w:tentative="1">
      <w:start w:val="1"/>
      <w:numFmt w:val="bullet"/>
      <w:lvlText w:val=""/>
      <w:lvlJc w:val="left"/>
      <w:pPr>
        <w:tabs>
          <w:tab w:val="num" w:pos="3600"/>
        </w:tabs>
        <w:ind w:left="3600" w:hanging="360"/>
      </w:pPr>
      <w:rPr>
        <w:rFonts w:ascii="Symbol" w:hAnsi="Symbol" w:hint="default"/>
      </w:rPr>
    </w:lvl>
    <w:lvl w:ilvl="5" w:tplc="235CFDBE" w:tentative="1">
      <w:start w:val="1"/>
      <w:numFmt w:val="bullet"/>
      <w:lvlText w:val=""/>
      <w:lvlJc w:val="left"/>
      <w:pPr>
        <w:tabs>
          <w:tab w:val="num" w:pos="4320"/>
        </w:tabs>
        <w:ind w:left="4320" w:hanging="360"/>
      </w:pPr>
      <w:rPr>
        <w:rFonts w:ascii="Symbol" w:hAnsi="Symbol" w:hint="default"/>
      </w:rPr>
    </w:lvl>
    <w:lvl w:ilvl="6" w:tplc="1EBA1B40" w:tentative="1">
      <w:start w:val="1"/>
      <w:numFmt w:val="bullet"/>
      <w:lvlText w:val=""/>
      <w:lvlJc w:val="left"/>
      <w:pPr>
        <w:tabs>
          <w:tab w:val="num" w:pos="5040"/>
        </w:tabs>
        <w:ind w:left="5040" w:hanging="360"/>
      </w:pPr>
      <w:rPr>
        <w:rFonts w:ascii="Symbol" w:hAnsi="Symbol" w:hint="default"/>
      </w:rPr>
    </w:lvl>
    <w:lvl w:ilvl="7" w:tplc="B790943E" w:tentative="1">
      <w:start w:val="1"/>
      <w:numFmt w:val="bullet"/>
      <w:lvlText w:val=""/>
      <w:lvlJc w:val="left"/>
      <w:pPr>
        <w:tabs>
          <w:tab w:val="num" w:pos="5760"/>
        </w:tabs>
        <w:ind w:left="5760" w:hanging="360"/>
      </w:pPr>
      <w:rPr>
        <w:rFonts w:ascii="Symbol" w:hAnsi="Symbol" w:hint="default"/>
      </w:rPr>
    </w:lvl>
    <w:lvl w:ilvl="8" w:tplc="AA1A404E"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62A51A52"/>
    <w:multiLevelType w:val="hybridMultilevel"/>
    <w:tmpl w:val="D084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68" w15:restartNumberingAfterBreak="0">
    <w:nsid w:val="64FB362C"/>
    <w:multiLevelType w:val="hybridMultilevel"/>
    <w:tmpl w:val="04245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6B16BC"/>
    <w:multiLevelType w:val="hybridMultilevel"/>
    <w:tmpl w:val="87F4181A"/>
    <w:lvl w:ilvl="0" w:tplc="A9E661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6AA597B"/>
    <w:multiLevelType w:val="hybridMultilevel"/>
    <w:tmpl w:val="ED3CC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88B5948"/>
    <w:multiLevelType w:val="hybridMultilevel"/>
    <w:tmpl w:val="09AEC92C"/>
    <w:lvl w:ilvl="0" w:tplc="17EAEB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D4255EE"/>
    <w:multiLevelType w:val="hybridMultilevel"/>
    <w:tmpl w:val="6BC4A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29E6083"/>
    <w:multiLevelType w:val="hybridMultilevel"/>
    <w:tmpl w:val="98EE7C3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47D203E"/>
    <w:multiLevelType w:val="hybridMultilevel"/>
    <w:tmpl w:val="73F03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4DE46D5"/>
    <w:multiLevelType w:val="hybridMultilevel"/>
    <w:tmpl w:val="33F47B48"/>
    <w:lvl w:ilvl="0" w:tplc="EE444F64">
      <w:start w:val="1"/>
      <w:numFmt w:val="bullet"/>
      <w:lvlText w:val="◦"/>
      <w:lvlJc w:val="left"/>
      <w:pPr>
        <w:tabs>
          <w:tab w:val="num" w:pos="360"/>
        </w:tabs>
        <w:ind w:left="360" w:hanging="360"/>
      </w:pPr>
      <w:rPr>
        <w:rFonts w:ascii="Microsoft Sans Serif" w:hAnsi="Microsoft Sans Serif" w:hint="default"/>
      </w:rPr>
    </w:lvl>
    <w:lvl w:ilvl="1" w:tplc="3C584DA2">
      <w:start w:val="1"/>
      <w:numFmt w:val="bullet"/>
      <w:lvlText w:val="◦"/>
      <w:lvlJc w:val="left"/>
      <w:pPr>
        <w:tabs>
          <w:tab w:val="num" w:pos="1080"/>
        </w:tabs>
        <w:ind w:left="1080" w:hanging="360"/>
      </w:pPr>
      <w:rPr>
        <w:rFonts w:ascii="Microsoft Sans Serif" w:hAnsi="Microsoft Sans Serif" w:hint="default"/>
      </w:rPr>
    </w:lvl>
    <w:lvl w:ilvl="2" w:tplc="D948570C" w:tentative="1">
      <w:start w:val="1"/>
      <w:numFmt w:val="bullet"/>
      <w:lvlText w:val="◦"/>
      <w:lvlJc w:val="left"/>
      <w:pPr>
        <w:tabs>
          <w:tab w:val="num" w:pos="1800"/>
        </w:tabs>
        <w:ind w:left="1800" w:hanging="360"/>
      </w:pPr>
      <w:rPr>
        <w:rFonts w:ascii="Microsoft Sans Serif" w:hAnsi="Microsoft Sans Serif" w:hint="default"/>
      </w:rPr>
    </w:lvl>
    <w:lvl w:ilvl="3" w:tplc="F4D0572E" w:tentative="1">
      <w:start w:val="1"/>
      <w:numFmt w:val="bullet"/>
      <w:lvlText w:val="◦"/>
      <w:lvlJc w:val="left"/>
      <w:pPr>
        <w:tabs>
          <w:tab w:val="num" w:pos="2520"/>
        </w:tabs>
        <w:ind w:left="2520" w:hanging="360"/>
      </w:pPr>
      <w:rPr>
        <w:rFonts w:ascii="Microsoft Sans Serif" w:hAnsi="Microsoft Sans Serif" w:hint="default"/>
      </w:rPr>
    </w:lvl>
    <w:lvl w:ilvl="4" w:tplc="FCCEF5CC" w:tentative="1">
      <w:start w:val="1"/>
      <w:numFmt w:val="bullet"/>
      <w:lvlText w:val="◦"/>
      <w:lvlJc w:val="left"/>
      <w:pPr>
        <w:tabs>
          <w:tab w:val="num" w:pos="3240"/>
        </w:tabs>
        <w:ind w:left="3240" w:hanging="360"/>
      </w:pPr>
      <w:rPr>
        <w:rFonts w:ascii="Microsoft Sans Serif" w:hAnsi="Microsoft Sans Serif" w:hint="default"/>
      </w:rPr>
    </w:lvl>
    <w:lvl w:ilvl="5" w:tplc="42C27B94" w:tentative="1">
      <w:start w:val="1"/>
      <w:numFmt w:val="bullet"/>
      <w:lvlText w:val="◦"/>
      <w:lvlJc w:val="left"/>
      <w:pPr>
        <w:tabs>
          <w:tab w:val="num" w:pos="3960"/>
        </w:tabs>
        <w:ind w:left="3960" w:hanging="360"/>
      </w:pPr>
      <w:rPr>
        <w:rFonts w:ascii="Microsoft Sans Serif" w:hAnsi="Microsoft Sans Serif" w:hint="default"/>
      </w:rPr>
    </w:lvl>
    <w:lvl w:ilvl="6" w:tplc="4FEA1716" w:tentative="1">
      <w:start w:val="1"/>
      <w:numFmt w:val="bullet"/>
      <w:lvlText w:val="◦"/>
      <w:lvlJc w:val="left"/>
      <w:pPr>
        <w:tabs>
          <w:tab w:val="num" w:pos="4680"/>
        </w:tabs>
        <w:ind w:left="4680" w:hanging="360"/>
      </w:pPr>
      <w:rPr>
        <w:rFonts w:ascii="Microsoft Sans Serif" w:hAnsi="Microsoft Sans Serif" w:hint="default"/>
      </w:rPr>
    </w:lvl>
    <w:lvl w:ilvl="7" w:tplc="0F9E7D98" w:tentative="1">
      <w:start w:val="1"/>
      <w:numFmt w:val="bullet"/>
      <w:lvlText w:val="◦"/>
      <w:lvlJc w:val="left"/>
      <w:pPr>
        <w:tabs>
          <w:tab w:val="num" w:pos="5400"/>
        </w:tabs>
        <w:ind w:left="5400" w:hanging="360"/>
      </w:pPr>
      <w:rPr>
        <w:rFonts w:ascii="Microsoft Sans Serif" w:hAnsi="Microsoft Sans Serif" w:hint="default"/>
      </w:rPr>
    </w:lvl>
    <w:lvl w:ilvl="8" w:tplc="BA72444C" w:tentative="1">
      <w:start w:val="1"/>
      <w:numFmt w:val="bullet"/>
      <w:lvlText w:val="◦"/>
      <w:lvlJc w:val="left"/>
      <w:pPr>
        <w:tabs>
          <w:tab w:val="num" w:pos="6120"/>
        </w:tabs>
        <w:ind w:left="6120" w:hanging="360"/>
      </w:pPr>
      <w:rPr>
        <w:rFonts w:ascii="Microsoft Sans Serif" w:hAnsi="Microsoft Sans Serif" w:hint="default"/>
      </w:rPr>
    </w:lvl>
  </w:abstractNum>
  <w:abstractNum w:abstractNumId="78" w15:restartNumberingAfterBreak="0">
    <w:nsid w:val="75AA3A7B"/>
    <w:multiLevelType w:val="hybridMultilevel"/>
    <w:tmpl w:val="5B009ED6"/>
    <w:lvl w:ilvl="0" w:tplc="0F14E34C">
      <w:start w:val="1"/>
      <w:numFmt w:val="bullet"/>
      <w:lvlText w:val="◦"/>
      <w:lvlJc w:val="left"/>
      <w:pPr>
        <w:tabs>
          <w:tab w:val="num" w:pos="720"/>
        </w:tabs>
        <w:ind w:left="720" w:hanging="360"/>
      </w:pPr>
      <w:rPr>
        <w:rFonts w:ascii="Microsoft Sans Serif" w:hAnsi="Microsoft Sans Serif" w:hint="default"/>
      </w:rPr>
    </w:lvl>
    <w:lvl w:ilvl="1" w:tplc="9AC049E6">
      <w:start w:val="1"/>
      <w:numFmt w:val="bullet"/>
      <w:lvlText w:val="◦"/>
      <w:lvlJc w:val="left"/>
      <w:pPr>
        <w:tabs>
          <w:tab w:val="num" w:pos="1440"/>
        </w:tabs>
        <w:ind w:left="1440" w:hanging="360"/>
      </w:pPr>
      <w:rPr>
        <w:rFonts w:ascii="Microsoft Sans Serif" w:hAnsi="Microsoft Sans Serif" w:hint="default"/>
      </w:rPr>
    </w:lvl>
    <w:lvl w:ilvl="2" w:tplc="7A18606A" w:tentative="1">
      <w:start w:val="1"/>
      <w:numFmt w:val="bullet"/>
      <w:lvlText w:val="◦"/>
      <w:lvlJc w:val="left"/>
      <w:pPr>
        <w:tabs>
          <w:tab w:val="num" w:pos="2160"/>
        </w:tabs>
        <w:ind w:left="2160" w:hanging="360"/>
      </w:pPr>
      <w:rPr>
        <w:rFonts w:ascii="Microsoft Sans Serif" w:hAnsi="Microsoft Sans Serif" w:hint="default"/>
      </w:rPr>
    </w:lvl>
    <w:lvl w:ilvl="3" w:tplc="36722C40" w:tentative="1">
      <w:start w:val="1"/>
      <w:numFmt w:val="bullet"/>
      <w:lvlText w:val="◦"/>
      <w:lvlJc w:val="left"/>
      <w:pPr>
        <w:tabs>
          <w:tab w:val="num" w:pos="2880"/>
        </w:tabs>
        <w:ind w:left="2880" w:hanging="360"/>
      </w:pPr>
      <w:rPr>
        <w:rFonts w:ascii="Microsoft Sans Serif" w:hAnsi="Microsoft Sans Serif" w:hint="default"/>
      </w:rPr>
    </w:lvl>
    <w:lvl w:ilvl="4" w:tplc="01A21E98" w:tentative="1">
      <w:start w:val="1"/>
      <w:numFmt w:val="bullet"/>
      <w:lvlText w:val="◦"/>
      <w:lvlJc w:val="left"/>
      <w:pPr>
        <w:tabs>
          <w:tab w:val="num" w:pos="3600"/>
        </w:tabs>
        <w:ind w:left="3600" w:hanging="360"/>
      </w:pPr>
      <w:rPr>
        <w:rFonts w:ascii="Microsoft Sans Serif" w:hAnsi="Microsoft Sans Serif" w:hint="default"/>
      </w:rPr>
    </w:lvl>
    <w:lvl w:ilvl="5" w:tplc="13260400" w:tentative="1">
      <w:start w:val="1"/>
      <w:numFmt w:val="bullet"/>
      <w:lvlText w:val="◦"/>
      <w:lvlJc w:val="left"/>
      <w:pPr>
        <w:tabs>
          <w:tab w:val="num" w:pos="4320"/>
        </w:tabs>
        <w:ind w:left="4320" w:hanging="360"/>
      </w:pPr>
      <w:rPr>
        <w:rFonts w:ascii="Microsoft Sans Serif" w:hAnsi="Microsoft Sans Serif" w:hint="default"/>
      </w:rPr>
    </w:lvl>
    <w:lvl w:ilvl="6" w:tplc="C0BC731A" w:tentative="1">
      <w:start w:val="1"/>
      <w:numFmt w:val="bullet"/>
      <w:lvlText w:val="◦"/>
      <w:lvlJc w:val="left"/>
      <w:pPr>
        <w:tabs>
          <w:tab w:val="num" w:pos="5040"/>
        </w:tabs>
        <w:ind w:left="5040" w:hanging="360"/>
      </w:pPr>
      <w:rPr>
        <w:rFonts w:ascii="Microsoft Sans Serif" w:hAnsi="Microsoft Sans Serif" w:hint="default"/>
      </w:rPr>
    </w:lvl>
    <w:lvl w:ilvl="7" w:tplc="1E1C92D2" w:tentative="1">
      <w:start w:val="1"/>
      <w:numFmt w:val="bullet"/>
      <w:lvlText w:val="◦"/>
      <w:lvlJc w:val="left"/>
      <w:pPr>
        <w:tabs>
          <w:tab w:val="num" w:pos="5760"/>
        </w:tabs>
        <w:ind w:left="5760" w:hanging="360"/>
      </w:pPr>
      <w:rPr>
        <w:rFonts w:ascii="Microsoft Sans Serif" w:hAnsi="Microsoft Sans Serif" w:hint="default"/>
      </w:rPr>
    </w:lvl>
    <w:lvl w:ilvl="8" w:tplc="EEAA8670" w:tentative="1">
      <w:start w:val="1"/>
      <w:numFmt w:val="bullet"/>
      <w:lvlText w:val="◦"/>
      <w:lvlJc w:val="left"/>
      <w:pPr>
        <w:tabs>
          <w:tab w:val="num" w:pos="6480"/>
        </w:tabs>
        <w:ind w:left="6480" w:hanging="360"/>
      </w:pPr>
      <w:rPr>
        <w:rFonts w:ascii="Microsoft Sans Serif" w:hAnsi="Microsoft Sans Serif" w:hint="default"/>
      </w:rPr>
    </w:lvl>
  </w:abstractNum>
  <w:abstractNum w:abstractNumId="79" w15:restartNumberingAfterBreak="0">
    <w:nsid w:val="7C452B09"/>
    <w:multiLevelType w:val="hybridMultilevel"/>
    <w:tmpl w:val="68B09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8"/>
  </w:num>
  <w:num w:numId="3">
    <w:abstractNumId w:val="39"/>
  </w:num>
  <w:num w:numId="4">
    <w:abstractNumId w:val="72"/>
  </w:num>
  <w:num w:numId="5">
    <w:abstractNumId w:val="46"/>
  </w:num>
  <w:num w:numId="6">
    <w:abstractNumId w:val="71"/>
  </w:num>
  <w:num w:numId="7">
    <w:abstractNumId w:val="64"/>
  </w:num>
  <w:num w:numId="8">
    <w:abstractNumId w:val="57"/>
  </w:num>
  <w:num w:numId="9">
    <w:abstractNumId w:val="56"/>
  </w:num>
  <w:num w:numId="10">
    <w:abstractNumId w:val="25"/>
  </w:num>
  <w:num w:numId="11">
    <w:abstractNumId w:val="13"/>
  </w:num>
  <w:num w:numId="12">
    <w:abstractNumId w:val="52"/>
  </w:num>
  <w:num w:numId="13">
    <w:abstractNumId w:val="67"/>
  </w:num>
  <w:num w:numId="14">
    <w:abstractNumId w:val="17"/>
  </w:num>
  <w:num w:numId="15">
    <w:abstractNumId w:val="25"/>
  </w:num>
  <w:num w:numId="16">
    <w:abstractNumId w:val="6"/>
  </w:num>
  <w:num w:numId="17">
    <w:abstractNumId w:val="53"/>
  </w:num>
  <w:num w:numId="18">
    <w:abstractNumId w:val="65"/>
  </w:num>
  <w:num w:numId="19">
    <w:abstractNumId w:val="15"/>
  </w:num>
  <w:num w:numId="20">
    <w:abstractNumId w:val="7"/>
  </w:num>
  <w:num w:numId="21">
    <w:abstractNumId w:val="69"/>
  </w:num>
  <w:num w:numId="22">
    <w:abstractNumId w:val="40"/>
  </w:num>
  <w:num w:numId="23">
    <w:abstractNumId w:val="51"/>
  </w:num>
  <w:num w:numId="24">
    <w:abstractNumId w:val="28"/>
  </w:num>
  <w:num w:numId="25">
    <w:abstractNumId w:val="18"/>
  </w:num>
  <w:num w:numId="26">
    <w:abstractNumId w:val="24"/>
  </w:num>
  <w:num w:numId="27">
    <w:abstractNumId w:val="21"/>
  </w:num>
  <w:num w:numId="28">
    <w:abstractNumId w:val="37"/>
  </w:num>
  <w:num w:numId="29">
    <w:abstractNumId w:val="45"/>
  </w:num>
  <w:num w:numId="30">
    <w:abstractNumId w:val="3"/>
  </w:num>
  <w:num w:numId="31">
    <w:abstractNumId w:val="2"/>
  </w:num>
  <w:num w:numId="32">
    <w:abstractNumId w:val="16"/>
  </w:num>
  <w:num w:numId="33">
    <w:abstractNumId w:val="9"/>
  </w:num>
  <w:num w:numId="34">
    <w:abstractNumId w:val="44"/>
  </w:num>
  <w:num w:numId="35">
    <w:abstractNumId w:val="34"/>
  </w:num>
  <w:num w:numId="36">
    <w:abstractNumId w:val="43"/>
  </w:num>
  <w:num w:numId="37">
    <w:abstractNumId w:val="70"/>
  </w:num>
  <w:num w:numId="38">
    <w:abstractNumId w:val="20"/>
  </w:num>
  <w:num w:numId="39">
    <w:abstractNumId w:val="1"/>
  </w:num>
  <w:num w:numId="40">
    <w:abstractNumId w:val="36"/>
  </w:num>
  <w:num w:numId="41">
    <w:abstractNumId w:val="33"/>
  </w:num>
  <w:num w:numId="42">
    <w:abstractNumId w:val="75"/>
  </w:num>
  <w:num w:numId="43">
    <w:abstractNumId w:val="38"/>
  </w:num>
  <w:num w:numId="44">
    <w:abstractNumId w:val="31"/>
  </w:num>
  <w:num w:numId="45">
    <w:abstractNumId w:val="79"/>
  </w:num>
  <w:num w:numId="46">
    <w:abstractNumId w:val="59"/>
  </w:num>
  <w:num w:numId="47">
    <w:abstractNumId w:val="60"/>
  </w:num>
  <w:num w:numId="48">
    <w:abstractNumId w:val="4"/>
  </w:num>
  <w:num w:numId="49">
    <w:abstractNumId w:val="5"/>
  </w:num>
  <w:num w:numId="50">
    <w:abstractNumId w:val="35"/>
  </w:num>
  <w:num w:numId="51">
    <w:abstractNumId w:val="71"/>
  </w:num>
  <w:num w:numId="52">
    <w:abstractNumId w:val="23"/>
  </w:num>
  <w:num w:numId="53">
    <w:abstractNumId w:val="26"/>
  </w:num>
  <w:num w:numId="54">
    <w:abstractNumId w:val="10"/>
  </w:num>
  <w:num w:numId="55">
    <w:abstractNumId w:val="12"/>
  </w:num>
  <w:num w:numId="56">
    <w:abstractNumId w:val="27"/>
  </w:num>
  <w:num w:numId="57">
    <w:abstractNumId w:val="48"/>
  </w:num>
  <w:num w:numId="58">
    <w:abstractNumId w:val="54"/>
  </w:num>
  <w:num w:numId="59">
    <w:abstractNumId w:val="80"/>
  </w:num>
  <w:num w:numId="60">
    <w:abstractNumId w:val="63"/>
  </w:num>
  <w:num w:numId="61">
    <w:abstractNumId w:val="47"/>
  </w:num>
  <w:num w:numId="62">
    <w:abstractNumId w:val="58"/>
  </w:num>
  <w:num w:numId="63">
    <w:abstractNumId w:val="50"/>
  </w:num>
  <w:num w:numId="64">
    <w:abstractNumId w:val="29"/>
  </w:num>
  <w:num w:numId="65">
    <w:abstractNumId w:val="76"/>
  </w:num>
  <w:num w:numId="66">
    <w:abstractNumId w:val="14"/>
  </w:num>
  <w:num w:numId="67">
    <w:abstractNumId w:val="78"/>
  </w:num>
  <w:num w:numId="68">
    <w:abstractNumId w:val="77"/>
  </w:num>
  <w:num w:numId="69">
    <w:abstractNumId w:val="61"/>
  </w:num>
  <w:num w:numId="70">
    <w:abstractNumId w:val="49"/>
  </w:num>
  <w:num w:numId="71">
    <w:abstractNumId w:val="22"/>
  </w:num>
  <w:num w:numId="72">
    <w:abstractNumId w:val="42"/>
  </w:num>
  <w:num w:numId="73">
    <w:abstractNumId w:val="68"/>
  </w:num>
  <w:num w:numId="74">
    <w:abstractNumId w:val="66"/>
  </w:num>
  <w:num w:numId="75">
    <w:abstractNumId w:val="55"/>
  </w:num>
  <w:num w:numId="76">
    <w:abstractNumId w:val="32"/>
  </w:num>
  <w:num w:numId="77">
    <w:abstractNumId w:val="41"/>
  </w:num>
  <w:num w:numId="78">
    <w:abstractNumId w:val="62"/>
  </w:num>
  <w:num w:numId="79">
    <w:abstractNumId w:val="74"/>
  </w:num>
  <w:num w:numId="80">
    <w:abstractNumId w:val="73"/>
  </w:num>
  <w:num w:numId="81">
    <w:abstractNumId w:val="71"/>
  </w:num>
  <w:num w:numId="82">
    <w:abstractNumId w:val="11"/>
  </w:num>
  <w:num w:numId="83">
    <w:abstractNumId w:val="1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D8"/>
    <w:rsid w:val="00000ECA"/>
    <w:rsid w:val="00000F59"/>
    <w:rsid w:val="00000F7F"/>
    <w:rsid w:val="00001375"/>
    <w:rsid w:val="000018E4"/>
    <w:rsid w:val="00001F40"/>
    <w:rsid w:val="00001F79"/>
    <w:rsid w:val="00001FC3"/>
    <w:rsid w:val="000022AF"/>
    <w:rsid w:val="00002375"/>
    <w:rsid w:val="000024A6"/>
    <w:rsid w:val="0000270A"/>
    <w:rsid w:val="0000281C"/>
    <w:rsid w:val="00002A8E"/>
    <w:rsid w:val="00003131"/>
    <w:rsid w:val="00003227"/>
    <w:rsid w:val="000037FB"/>
    <w:rsid w:val="00003B0E"/>
    <w:rsid w:val="00003EF4"/>
    <w:rsid w:val="0000403F"/>
    <w:rsid w:val="000047C1"/>
    <w:rsid w:val="00004885"/>
    <w:rsid w:val="00004D8C"/>
    <w:rsid w:val="00004DCB"/>
    <w:rsid w:val="000051F0"/>
    <w:rsid w:val="0000545A"/>
    <w:rsid w:val="0000553B"/>
    <w:rsid w:val="0000590F"/>
    <w:rsid w:val="00005D97"/>
    <w:rsid w:val="000063BC"/>
    <w:rsid w:val="000065B2"/>
    <w:rsid w:val="000065B9"/>
    <w:rsid w:val="00006780"/>
    <w:rsid w:val="00006C7A"/>
    <w:rsid w:val="000070F5"/>
    <w:rsid w:val="00007495"/>
    <w:rsid w:val="00007749"/>
    <w:rsid w:val="0000792C"/>
    <w:rsid w:val="00007B4B"/>
    <w:rsid w:val="00007D32"/>
    <w:rsid w:val="000101EF"/>
    <w:rsid w:val="00010E97"/>
    <w:rsid w:val="00010FD1"/>
    <w:rsid w:val="0001117C"/>
    <w:rsid w:val="00011A84"/>
    <w:rsid w:val="000124D1"/>
    <w:rsid w:val="00012A91"/>
    <w:rsid w:val="00012D57"/>
    <w:rsid w:val="0001321B"/>
    <w:rsid w:val="0001369A"/>
    <w:rsid w:val="00013793"/>
    <w:rsid w:val="000137BA"/>
    <w:rsid w:val="00013B31"/>
    <w:rsid w:val="00013B63"/>
    <w:rsid w:val="00013F64"/>
    <w:rsid w:val="000141F0"/>
    <w:rsid w:val="00014A6F"/>
    <w:rsid w:val="00014E0E"/>
    <w:rsid w:val="00015BCB"/>
    <w:rsid w:val="00015CED"/>
    <w:rsid w:val="000162B2"/>
    <w:rsid w:val="00016441"/>
    <w:rsid w:val="0001645D"/>
    <w:rsid w:val="000164BB"/>
    <w:rsid w:val="0001679E"/>
    <w:rsid w:val="000167A6"/>
    <w:rsid w:val="00016B8A"/>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0E9"/>
    <w:rsid w:val="000221EB"/>
    <w:rsid w:val="000222F7"/>
    <w:rsid w:val="000228FF"/>
    <w:rsid w:val="000233F4"/>
    <w:rsid w:val="00023524"/>
    <w:rsid w:val="00023C29"/>
    <w:rsid w:val="00023E69"/>
    <w:rsid w:val="0002417C"/>
    <w:rsid w:val="00024D64"/>
    <w:rsid w:val="00024E37"/>
    <w:rsid w:val="0002506A"/>
    <w:rsid w:val="0002520D"/>
    <w:rsid w:val="000255A1"/>
    <w:rsid w:val="000258DD"/>
    <w:rsid w:val="0002591B"/>
    <w:rsid w:val="00026272"/>
    <w:rsid w:val="000266AE"/>
    <w:rsid w:val="00026905"/>
    <w:rsid w:val="00026977"/>
    <w:rsid w:val="00026B7D"/>
    <w:rsid w:val="00026C64"/>
    <w:rsid w:val="00026E4C"/>
    <w:rsid w:val="00026EF9"/>
    <w:rsid w:val="00027083"/>
    <w:rsid w:val="00027333"/>
    <w:rsid w:val="000273DF"/>
    <w:rsid w:val="00027961"/>
    <w:rsid w:val="000300FE"/>
    <w:rsid w:val="00030619"/>
    <w:rsid w:val="000307C6"/>
    <w:rsid w:val="00030B9E"/>
    <w:rsid w:val="00030F74"/>
    <w:rsid w:val="00030F85"/>
    <w:rsid w:val="000312B4"/>
    <w:rsid w:val="0003134F"/>
    <w:rsid w:val="000317B2"/>
    <w:rsid w:val="00031DBF"/>
    <w:rsid w:val="00031EBD"/>
    <w:rsid w:val="00031EDD"/>
    <w:rsid w:val="000321DC"/>
    <w:rsid w:val="000325EF"/>
    <w:rsid w:val="00032A0C"/>
    <w:rsid w:val="00033EB8"/>
    <w:rsid w:val="00034882"/>
    <w:rsid w:val="000349B7"/>
    <w:rsid w:val="0003540B"/>
    <w:rsid w:val="00035518"/>
    <w:rsid w:val="00035574"/>
    <w:rsid w:val="00035D1F"/>
    <w:rsid w:val="00036199"/>
    <w:rsid w:val="000365A2"/>
    <w:rsid w:val="0003698E"/>
    <w:rsid w:val="00036C45"/>
    <w:rsid w:val="00036EEE"/>
    <w:rsid w:val="00036FA7"/>
    <w:rsid w:val="000370B4"/>
    <w:rsid w:val="0003723F"/>
    <w:rsid w:val="000372BF"/>
    <w:rsid w:val="000377E3"/>
    <w:rsid w:val="00037A21"/>
    <w:rsid w:val="00037C2D"/>
    <w:rsid w:val="0004005F"/>
    <w:rsid w:val="000401A6"/>
    <w:rsid w:val="0004027E"/>
    <w:rsid w:val="000402B6"/>
    <w:rsid w:val="0004032C"/>
    <w:rsid w:val="000404F2"/>
    <w:rsid w:val="00040A94"/>
    <w:rsid w:val="00040AAD"/>
    <w:rsid w:val="00040B19"/>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168"/>
    <w:rsid w:val="000472F3"/>
    <w:rsid w:val="000477BB"/>
    <w:rsid w:val="00047A82"/>
    <w:rsid w:val="00047B11"/>
    <w:rsid w:val="00050335"/>
    <w:rsid w:val="0005053E"/>
    <w:rsid w:val="0005055B"/>
    <w:rsid w:val="000505E0"/>
    <w:rsid w:val="00050F12"/>
    <w:rsid w:val="00051135"/>
    <w:rsid w:val="000515F7"/>
    <w:rsid w:val="000519C5"/>
    <w:rsid w:val="00051D3D"/>
    <w:rsid w:val="0005201C"/>
    <w:rsid w:val="0005241E"/>
    <w:rsid w:val="0005291A"/>
    <w:rsid w:val="00052AE3"/>
    <w:rsid w:val="00052B35"/>
    <w:rsid w:val="000531A8"/>
    <w:rsid w:val="000532C1"/>
    <w:rsid w:val="00053849"/>
    <w:rsid w:val="00053935"/>
    <w:rsid w:val="00053A47"/>
    <w:rsid w:val="000542E7"/>
    <w:rsid w:val="0005456E"/>
    <w:rsid w:val="000549CF"/>
    <w:rsid w:val="00054ACE"/>
    <w:rsid w:val="00054AE4"/>
    <w:rsid w:val="00054B6B"/>
    <w:rsid w:val="00054DAB"/>
    <w:rsid w:val="0005504C"/>
    <w:rsid w:val="00055873"/>
    <w:rsid w:val="00055A4E"/>
    <w:rsid w:val="00055AD1"/>
    <w:rsid w:val="00055B8E"/>
    <w:rsid w:val="0005602E"/>
    <w:rsid w:val="00056057"/>
    <w:rsid w:val="0005711E"/>
    <w:rsid w:val="000572A7"/>
    <w:rsid w:val="00057388"/>
    <w:rsid w:val="00057653"/>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D38"/>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3C7"/>
    <w:rsid w:val="0007162A"/>
    <w:rsid w:val="000716FB"/>
    <w:rsid w:val="00071740"/>
    <w:rsid w:val="0007272C"/>
    <w:rsid w:val="00072A48"/>
    <w:rsid w:val="00072E75"/>
    <w:rsid w:val="00072EFA"/>
    <w:rsid w:val="00072FF7"/>
    <w:rsid w:val="000731C7"/>
    <w:rsid w:val="0007337F"/>
    <w:rsid w:val="0007358A"/>
    <w:rsid w:val="0007368E"/>
    <w:rsid w:val="00073785"/>
    <w:rsid w:val="00073974"/>
    <w:rsid w:val="00073BDB"/>
    <w:rsid w:val="00073E50"/>
    <w:rsid w:val="000741B3"/>
    <w:rsid w:val="00074375"/>
    <w:rsid w:val="000743A0"/>
    <w:rsid w:val="00074A9E"/>
    <w:rsid w:val="00074BF5"/>
    <w:rsid w:val="00075124"/>
    <w:rsid w:val="000752CD"/>
    <w:rsid w:val="000755A9"/>
    <w:rsid w:val="000755F4"/>
    <w:rsid w:val="00075680"/>
    <w:rsid w:val="00075999"/>
    <w:rsid w:val="00075AB6"/>
    <w:rsid w:val="00076408"/>
    <w:rsid w:val="0007661E"/>
    <w:rsid w:val="00076BEA"/>
    <w:rsid w:val="00077073"/>
    <w:rsid w:val="0007796D"/>
    <w:rsid w:val="00077E78"/>
    <w:rsid w:val="0008022A"/>
    <w:rsid w:val="00080418"/>
    <w:rsid w:val="0008047B"/>
    <w:rsid w:val="000805B2"/>
    <w:rsid w:val="00080D74"/>
    <w:rsid w:val="00080FA6"/>
    <w:rsid w:val="00081383"/>
    <w:rsid w:val="0008147B"/>
    <w:rsid w:val="000819D3"/>
    <w:rsid w:val="000822AD"/>
    <w:rsid w:val="000826FF"/>
    <w:rsid w:val="00082A49"/>
    <w:rsid w:val="00082C90"/>
    <w:rsid w:val="00082D86"/>
    <w:rsid w:val="000832D0"/>
    <w:rsid w:val="00083322"/>
    <w:rsid w:val="0008399B"/>
    <w:rsid w:val="00083ABE"/>
    <w:rsid w:val="00083DB2"/>
    <w:rsid w:val="00083F52"/>
    <w:rsid w:val="00084255"/>
    <w:rsid w:val="000844DD"/>
    <w:rsid w:val="000848C5"/>
    <w:rsid w:val="00085239"/>
    <w:rsid w:val="000852BC"/>
    <w:rsid w:val="000855A3"/>
    <w:rsid w:val="000859DC"/>
    <w:rsid w:val="00085E47"/>
    <w:rsid w:val="00085F08"/>
    <w:rsid w:val="00086210"/>
    <w:rsid w:val="000862BA"/>
    <w:rsid w:val="000862F6"/>
    <w:rsid w:val="00086B21"/>
    <w:rsid w:val="00086B50"/>
    <w:rsid w:val="00086C4D"/>
    <w:rsid w:val="0008760B"/>
    <w:rsid w:val="0008782D"/>
    <w:rsid w:val="00087E29"/>
    <w:rsid w:val="0009005D"/>
    <w:rsid w:val="0009037D"/>
    <w:rsid w:val="00090394"/>
    <w:rsid w:val="000904B2"/>
    <w:rsid w:val="00090573"/>
    <w:rsid w:val="00090779"/>
    <w:rsid w:val="00090E4B"/>
    <w:rsid w:val="000915CE"/>
    <w:rsid w:val="00091607"/>
    <w:rsid w:val="0009174B"/>
    <w:rsid w:val="00091ADD"/>
    <w:rsid w:val="0009203D"/>
    <w:rsid w:val="000921E3"/>
    <w:rsid w:val="000921ED"/>
    <w:rsid w:val="000925BF"/>
    <w:rsid w:val="00092A23"/>
    <w:rsid w:val="00092A3D"/>
    <w:rsid w:val="00092D01"/>
    <w:rsid w:val="000931C3"/>
    <w:rsid w:val="00093566"/>
    <w:rsid w:val="00093F75"/>
    <w:rsid w:val="000940B3"/>
    <w:rsid w:val="0009437A"/>
    <w:rsid w:val="000947B7"/>
    <w:rsid w:val="0009512D"/>
    <w:rsid w:val="00095468"/>
    <w:rsid w:val="000954C6"/>
    <w:rsid w:val="00095671"/>
    <w:rsid w:val="000956BC"/>
    <w:rsid w:val="000957FF"/>
    <w:rsid w:val="00095920"/>
    <w:rsid w:val="00095F53"/>
    <w:rsid w:val="00096158"/>
    <w:rsid w:val="0009653B"/>
    <w:rsid w:val="00096807"/>
    <w:rsid w:val="000968D8"/>
    <w:rsid w:val="0009709B"/>
    <w:rsid w:val="000970D0"/>
    <w:rsid w:val="0009720E"/>
    <w:rsid w:val="000979F0"/>
    <w:rsid w:val="00097AE8"/>
    <w:rsid w:val="00097E6F"/>
    <w:rsid w:val="000A02DC"/>
    <w:rsid w:val="000A09A2"/>
    <w:rsid w:val="000A0CA1"/>
    <w:rsid w:val="000A0E99"/>
    <w:rsid w:val="000A1AD3"/>
    <w:rsid w:val="000A1D49"/>
    <w:rsid w:val="000A1FC0"/>
    <w:rsid w:val="000A23E5"/>
    <w:rsid w:val="000A26E4"/>
    <w:rsid w:val="000A295D"/>
    <w:rsid w:val="000A2B8F"/>
    <w:rsid w:val="000A2D70"/>
    <w:rsid w:val="000A31F7"/>
    <w:rsid w:val="000A3ACB"/>
    <w:rsid w:val="000A3C82"/>
    <w:rsid w:val="000A441F"/>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3FB3"/>
    <w:rsid w:val="000B4788"/>
    <w:rsid w:val="000B49D7"/>
    <w:rsid w:val="000B546F"/>
    <w:rsid w:val="000B59AA"/>
    <w:rsid w:val="000B6030"/>
    <w:rsid w:val="000B63BC"/>
    <w:rsid w:val="000B65BE"/>
    <w:rsid w:val="000B6BDF"/>
    <w:rsid w:val="000B71B6"/>
    <w:rsid w:val="000B761C"/>
    <w:rsid w:val="000B789D"/>
    <w:rsid w:val="000B7B2B"/>
    <w:rsid w:val="000B7D5E"/>
    <w:rsid w:val="000B7D99"/>
    <w:rsid w:val="000C0A03"/>
    <w:rsid w:val="000C133A"/>
    <w:rsid w:val="000C1545"/>
    <w:rsid w:val="000C1DBD"/>
    <w:rsid w:val="000C2052"/>
    <w:rsid w:val="000C22A8"/>
    <w:rsid w:val="000C240A"/>
    <w:rsid w:val="000C2DE1"/>
    <w:rsid w:val="000C2E7E"/>
    <w:rsid w:val="000C304F"/>
    <w:rsid w:val="000C393F"/>
    <w:rsid w:val="000C3B1B"/>
    <w:rsid w:val="000C4065"/>
    <w:rsid w:val="000C4137"/>
    <w:rsid w:val="000C4493"/>
    <w:rsid w:val="000C4538"/>
    <w:rsid w:val="000C4C76"/>
    <w:rsid w:val="000C5759"/>
    <w:rsid w:val="000C5D34"/>
    <w:rsid w:val="000C5E7D"/>
    <w:rsid w:val="000C6605"/>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206C"/>
    <w:rsid w:val="000D2185"/>
    <w:rsid w:val="000D2578"/>
    <w:rsid w:val="000D2942"/>
    <w:rsid w:val="000D2AE0"/>
    <w:rsid w:val="000D2CDA"/>
    <w:rsid w:val="000D362A"/>
    <w:rsid w:val="000D36AC"/>
    <w:rsid w:val="000D37FA"/>
    <w:rsid w:val="000D389E"/>
    <w:rsid w:val="000D3F8F"/>
    <w:rsid w:val="000D4324"/>
    <w:rsid w:val="000D46D6"/>
    <w:rsid w:val="000D46EE"/>
    <w:rsid w:val="000D4896"/>
    <w:rsid w:val="000D4C02"/>
    <w:rsid w:val="000D4DE6"/>
    <w:rsid w:val="000D5158"/>
    <w:rsid w:val="000D55EA"/>
    <w:rsid w:val="000D5965"/>
    <w:rsid w:val="000D59D6"/>
    <w:rsid w:val="000D5AB0"/>
    <w:rsid w:val="000D5AD1"/>
    <w:rsid w:val="000D5B61"/>
    <w:rsid w:val="000D5C24"/>
    <w:rsid w:val="000D5E4D"/>
    <w:rsid w:val="000D5F9B"/>
    <w:rsid w:val="000D6E27"/>
    <w:rsid w:val="000D6E96"/>
    <w:rsid w:val="000D71B8"/>
    <w:rsid w:val="000D7268"/>
    <w:rsid w:val="000D73AC"/>
    <w:rsid w:val="000D7431"/>
    <w:rsid w:val="000D7783"/>
    <w:rsid w:val="000E011D"/>
    <w:rsid w:val="000E03CF"/>
    <w:rsid w:val="000E0CA7"/>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20D"/>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27A"/>
    <w:rsid w:val="000E7398"/>
    <w:rsid w:val="000E7501"/>
    <w:rsid w:val="000E7C46"/>
    <w:rsid w:val="000E7F51"/>
    <w:rsid w:val="000F00D8"/>
    <w:rsid w:val="000F095B"/>
    <w:rsid w:val="000F13C4"/>
    <w:rsid w:val="000F13D7"/>
    <w:rsid w:val="000F17E4"/>
    <w:rsid w:val="000F1878"/>
    <w:rsid w:val="000F1A06"/>
    <w:rsid w:val="000F1CF3"/>
    <w:rsid w:val="000F1F98"/>
    <w:rsid w:val="000F20CD"/>
    <w:rsid w:val="000F2965"/>
    <w:rsid w:val="000F34C7"/>
    <w:rsid w:val="000F3674"/>
    <w:rsid w:val="000F3B40"/>
    <w:rsid w:val="000F3F2F"/>
    <w:rsid w:val="000F42EA"/>
    <w:rsid w:val="000F4C0A"/>
    <w:rsid w:val="000F4CAF"/>
    <w:rsid w:val="000F4D2F"/>
    <w:rsid w:val="000F4F44"/>
    <w:rsid w:val="000F53CB"/>
    <w:rsid w:val="000F56AE"/>
    <w:rsid w:val="000F5975"/>
    <w:rsid w:val="000F5C75"/>
    <w:rsid w:val="000F6799"/>
    <w:rsid w:val="000F6881"/>
    <w:rsid w:val="000F699C"/>
    <w:rsid w:val="000F6C32"/>
    <w:rsid w:val="000F6CB0"/>
    <w:rsid w:val="000F6D86"/>
    <w:rsid w:val="000F7CAD"/>
    <w:rsid w:val="000F7D65"/>
    <w:rsid w:val="00100097"/>
    <w:rsid w:val="001000E9"/>
    <w:rsid w:val="00100161"/>
    <w:rsid w:val="00100169"/>
    <w:rsid w:val="001002DB"/>
    <w:rsid w:val="0010067A"/>
    <w:rsid w:val="00100726"/>
    <w:rsid w:val="001009BB"/>
    <w:rsid w:val="001010C3"/>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0F5"/>
    <w:rsid w:val="0010660E"/>
    <w:rsid w:val="00106A95"/>
    <w:rsid w:val="00106C39"/>
    <w:rsid w:val="00106CC3"/>
    <w:rsid w:val="00106E7E"/>
    <w:rsid w:val="00106FF1"/>
    <w:rsid w:val="00107423"/>
    <w:rsid w:val="0010795D"/>
    <w:rsid w:val="0011034F"/>
    <w:rsid w:val="0011036F"/>
    <w:rsid w:val="00110851"/>
    <w:rsid w:val="00110D29"/>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AAB"/>
    <w:rsid w:val="00114E61"/>
    <w:rsid w:val="00114EA7"/>
    <w:rsid w:val="0011536C"/>
    <w:rsid w:val="00115716"/>
    <w:rsid w:val="001157E6"/>
    <w:rsid w:val="0011584C"/>
    <w:rsid w:val="001158D5"/>
    <w:rsid w:val="0011602A"/>
    <w:rsid w:val="00116339"/>
    <w:rsid w:val="00116782"/>
    <w:rsid w:val="00116804"/>
    <w:rsid w:val="00116A2D"/>
    <w:rsid w:val="00116CA5"/>
    <w:rsid w:val="001175EF"/>
    <w:rsid w:val="00117677"/>
    <w:rsid w:val="00117957"/>
    <w:rsid w:val="00117C78"/>
    <w:rsid w:val="001201EA"/>
    <w:rsid w:val="001203DB"/>
    <w:rsid w:val="0012079F"/>
    <w:rsid w:val="001207F3"/>
    <w:rsid w:val="00120C13"/>
    <w:rsid w:val="00121769"/>
    <w:rsid w:val="00121AEC"/>
    <w:rsid w:val="00121E1A"/>
    <w:rsid w:val="0012243C"/>
    <w:rsid w:val="00122727"/>
    <w:rsid w:val="00122842"/>
    <w:rsid w:val="001232D2"/>
    <w:rsid w:val="0012345C"/>
    <w:rsid w:val="00123486"/>
    <w:rsid w:val="00123975"/>
    <w:rsid w:val="00123DED"/>
    <w:rsid w:val="00124033"/>
    <w:rsid w:val="00124277"/>
    <w:rsid w:val="0012467D"/>
    <w:rsid w:val="001246EC"/>
    <w:rsid w:val="00124885"/>
    <w:rsid w:val="001249D7"/>
    <w:rsid w:val="001249FC"/>
    <w:rsid w:val="00124C7A"/>
    <w:rsid w:val="00124E10"/>
    <w:rsid w:val="00125078"/>
    <w:rsid w:val="0012523E"/>
    <w:rsid w:val="001252FE"/>
    <w:rsid w:val="001255A6"/>
    <w:rsid w:val="00125C85"/>
    <w:rsid w:val="00125D1A"/>
    <w:rsid w:val="00125D34"/>
    <w:rsid w:val="0012636F"/>
    <w:rsid w:val="001268D1"/>
    <w:rsid w:val="001274AC"/>
    <w:rsid w:val="001275E6"/>
    <w:rsid w:val="00127ACA"/>
    <w:rsid w:val="00127DE2"/>
    <w:rsid w:val="00127F28"/>
    <w:rsid w:val="0013016D"/>
    <w:rsid w:val="00130714"/>
    <w:rsid w:val="001308EB"/>
    <w:rsid w:val="00130953"/>
    <w:rsid w:val="00130BBD"/>
    <w:rsid w:val="0013162D"/>
    <w:rsid w:val="00131683"/>
    <w:rsid w:val="001317B0"/>
    <w:rsid w:val="00131AC6"/>
    <w:rsid w:val="001321CE"/>
    <w:rsid w:val="001322B0"/>
    <w:rsid w:val="00132671"/>
    <w:rsid w:val="00132767"/>
    <w:rsid w:val="00132917"/>
    <w:rsid w:val="00132E89"/>
    <w:rsid w:val="0013327F"/>
    <w:rsid w:val="0013334C"/>
    <w:rsid w:val="00133467"/>
    <w:rsid w:val="00133DC8"/>
    <w:rsid w:val="00133EBD"/>
    <w:rsid w:val="00134502"/>
    <w:rsid w:val="0013470A"/>
    <w:rsid w:val="00134B15"/>
    <w:rsid w:val="00135015"/>
    <w:rsid w:val="00135095"/>
    <w:rsid w:val="00135263"/>
    <w:rsid w:val="00135517"/>
    <w:rsid w:val="00135829"/>
    <w:rsid w:val="00135884"/>
    <w:rsid w:val="001358A7"/>
    <w:rsid w:val="001358F4"/>
    <w:rsid w:val="0013612A"/>
    <w:rsid w:val="00136998"/>
    <w:rsid w:val="00136AAD"/>
    <w:rsid w:val="00136D36"/>
    <w:rsid w:val="00136EED"/>
    <w:rsid w:val="00137280"/>
    <w:rsid w:val="00137288"/>
    <w:rsid w:val="0013730B"/>
    <w:rsid w:val="00137480"/>
    <w:rsid w:val="001375B9"/>
    <w:rsid w:val="001376EE"/>
    <w:rsid w:val="001376F7"/>
    <w:rsid w:val="00137EA0"/>
    <w:rsid w:val="00140608"/>
    <w:rsid w:val="0014073C"/>
    <w:rsid w:val="00140762"/>
    <w:rsid w:val="00140825"/>
    <w:rsid w:val="0014086C"/>
    <w:rsid w:val="00140E5E"/>
    <w:rsid w:val="00140FA4"/>
    <w:rsid w:val="001410AA"/>
    <w:rsid w:val="001410F1"/>
    <w:rsid w:val="001418FE"/>
    <w:rsid w:val="00141962"/>
    <w:rsid w:val="00141E46"/>
    <w:rsid w:val="00141ED1"/>
    <w:rsid w:val="00141F72"/>
    <w:rsid w:val="0014206B"/>
    <w:rsid w:val="00142093"/>
    <w:rsid w:val="00142E42"/>
    <w:rsid w:val="00142F73"/>
    <w:rsid w:val="00143153"/>
    <w:rsid w:val="0014371C"/>
    <w:rsid w:val="001437D3"/>
    <w:rsid w:val="0014394A"/>
    <w:rsid w:val="00143EFE"/>
    <w:rsid w:val="00143FFE"/>
    <w:rsid w:val="00144134"/>
    <w:rsid w:val="0014471E"/>
    <w:rsid w:val="0014491B"/>
    <w:rsid w:val="00144B3F"/>
    <w:rsid w:val="00144D67"/>
    <w:rsid w:val="00144E04"/>
    <w:rsid w:val="001454C4"/>
    <w:rsid w:val="00145CAA"/>
    <w:rsid w:val="0014622B"/>
    <w:rsid w:val="001462D7"/>
    <w:rsid w:val="00146577"/>
    <w:rsid w:val="00146773"/>
    <w:rsid w:val="00146E6A"/>
    <w:rsid w:val="0014703E"/>
    <w:rsid w:val="00147679"/>
    <w:rsid w:val="00147CB6"/>
    <w:rsid w:val="00147D65"/>
    <w:rsid w:val="00147D91"/>
    <w:rsid w:val="00147FA1"/>
    <w:rsid w:val="00150091"/>
    <w:rsid w:val="001508E1"/>
    <w:rsid w:val="001510ED"/>
    <w:rsid w:val="001516D9"/>
    <w:rsid w:val="001517AB"/>
    <w:rsid w:val="00151805"/>
    <w:rsid w:val="00151897"/>
    <w:rsid w:val="00151A0C"/>
    <w:rsid w:val="00151EB2"/>
    <w:rsid w:val="00152066"/>
    <w:rsid w:val="001522B3"/>
    <w:rsid w:val="00152559"/>
    <w:rsid w:val="00152744"/>
    <w:rsid w:val="00152A3B"/>
    <w:rsid w:val="0015347E"/>
    <w:rsid w:val="00153A48"/>
    <w:rsid w:val="00153A6B"/>
    <w:rsid w:val="00153D34"/>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03D"/>
    <w:rsid w:val="00157B27"/>
    <w:rsid w:val="0016019C"/>
    <w:rsid w:val="001601C7"/>
    <w:rsid w:val="001602C2"/>
    <w:rsid w:val="001603B9"/>
    <w:rsid w:val="00160452"/>
    <w:rsid w:val="00160674"/>
    <w:rsid w:val="00160786"/>
    <w:rsid w:val="00160FCC"/>
    <w:rsid w:val="00162262"/>
    <w:rsid w:val="001623A3"/>
    <w:rsid w:val="00162BD5"/>
    <w:rsid w:val="00162CF1"/>
    <w:rsid w:val="00162F82"/>
    <w:rsid w:val="001630E4"/>
    <w:rsid w:val="0016368F"/>
    <w:rsid w:val="001639BC"/>
    <w:rsid w:val="00163AFC"/>
    <w:rsid w:val="00163B00"/>
    <w:rsid w:val="00163C9A"/>
    <w:rsid w:val="00164646"/>
    <w:rsid w:val="001647DB"/>
    <w:rsid w:val="001647FA"/>
    <w:rsid w:val="00164D12"/>
    <w:rsid w:val="00165137"/>
    <w:rsid w:val="001652DD"/>
    <w:rsid w:val="00165A42"/>
    <w:rsid w:val="00165D2D"/>
    <w:rsid w:val="00165D9A"/>
    <w:rsid w:val="0016634F"/>
    <w:rsid w:val="001665D2"/>
    <w:rsid w:val="001667BA"/>
    <w:rsid w:val="00166809"/>
    <w:rsid w:val="00166879"/>
    <w:rsid w:val="001669F9"/>
    <w:rsid w:val="00166D9E"/>
    <w:rsid w:val="00166EE2"/>
    <w:rsid w:val="00166EEA"/>
    <w:rsid w:val="00166F5E"/>
    <w:rsid w:val="0016700E"/>
    <w:rsid w:val="00167125"/>
    <w:rsid w:val="0016733C"/>
    <w:rsid w:val="0016764C"/>
    <w:rsid w:val="001676E6"/>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A90"/>
    <w:rsid w:val="00174DDB"/>
    <w:rsid w:val="00175009"/>
    <w:rsid w:val="001752EC"/>
    <w:rsid w:val="00175A6E"/>
    <w:rsid w:val="00175B5A"/>
    <w:rsid w:val="00175CE4"/>
    <w:rsid w:val="00175EF2"/>
    <w:rsid w:val="00176414"/>
    <w:rsid w:val="0017649D"/>
    <w:rsid w:val="00176BDB"/>
    <w:rsid w:val="0017714C"/>
    <w:rsid w:val="0017722E"/>
    <w:rsid w:val="0017730B"/>
    <w:rsid w:val="00177447"/>
    <w:rsid w:val="00177482"/>
    <w:rsid w:val="00177711"/>
    <w:rsid w:val="00177A0D"/>
    <w:rsid w:val="00177AC2"/>
    <w:rsid w:val="00177C85"/>
    <w:rsid w:val="00177DFF"/>
    <w:rsid w:val="00177EBD"/>
    <w:rsid w:val="0018016C"/>
    <w:rsid w:val="001806A9"/>
    <w:rsid w:val="00180860"/>
    <w:rsid w:val="00180D96"/>
    <w:rsid w:val="00180E60"/>
    <w:rsid w:val="00181561"/>
    <w:rsid w:val="001817BA"/>
    <w:rsid w:val="00181B2F"/>
    <w:rsid w:val="00181B3A"/>
    <w:rsid w:val="00181E7C"/>
    <w:rsid w:val="001820B2"/>
    <w:rsid w:val="001821E9"/>
    <w:rsid w:val="0018246F"/>
    <w:rsid w:val="00182718"/>
    <w:rsid w:val="00182D06"/>
    <w:rsid w:val="00182FBF"/>
    <w:rsid w:val="001836DF"/>
    <w:rsid w:val="00183CB7"/>
    <w:rsid w:val="00183CC6"/>
    <w:rsid w:val="00183F11"/>
    <w:rsid w:val="001840F5"/>
    <w:rsid w:val="0018463D"/>
    <w:rsid w:val="00184A29"/>
    <w:rsid w:val="00184DAB"/>
    <w:rsid w:val="00184F51"/>
    <w:rsid w:val="00185112"/>
    <w:rsid w:val="00185257"/>
    <w:rsid w:val="00185304"/>
    <w:rsid w:val="001853F9"/>
    <w:rsid w:val="00185E59"/>
    <w:rsid w:val="00185F10"/>
    <w:rsid w:val="00185FDA"/>
    <w:rsid w:val="00186395"/>
    <w:rsid w:val="001863E3"/>
    <w:rsid w:val="0018695F"/>
    <w:rsid w:val="00186AB4"/>
    <w:rsid w:val="00186B4D"/>
    <w:rsid w:val="00186B7F"/>
    <w:rsid w:val="0018767B"/>
    <w:rsid w:val="00187826"/>
    <w:rsid w:val="001902B8"/>
    <w:rsid w:val="001908C5"/>
    <w:rsid w:val="00190927"/>
    <w:rsid w:val="00190BD5"/>
    <w:rsid w:val="00190C5A"/>
    <w:rsid w:val="00190CA3"/>
    <w:rsid w:val="00190D28"/>
    <w:rsid w:val="001913F2"/>
    <w:rsid w:val="00191727"/>
    <w:rsid w:val="00191A3F"/>
    <w:rsid w:val="00191CD6"/>
    <w:rsid w:val="00191EBF"/>
    <w:rsid w:val="00191F78"/>
    <w:rsid w:val="00192338"/>
    <w:rsid w:val="00192589"/>
    <w:rsid w:val="001925E5"/>
    <w:rsid w:val="001929F7"/>
    <w:rsid w:val="001931EB"/>
    <w:rsid w:val="00193924"/>
    <w:rsid w:val="00193987"/>
    <w:rsid w:val="00193E62"/>
    <w:rsid w:val="00193EEE"/>
    <w:rsid w:val="0019450F"/>
    <w:rsid w:val="00194955"/>
    <w:rsid w:val="00194A2D"/>
    <w:rsid w:val="00194E48"/>
    <w:rsid w:val="00195657"/>
    <w:rsid w:val="0019573B"/>
    <w:rsid w:val="0019592C"/>
    <w:rsid w:val="001959F5"/>
    <w:rsid w:val="00196085"/>
    <w:rsid w:val="00196365"/>
    <w:rsid w:val="00196B90"/>
    <w:rsid w:val="00196DE8"/>
    <w:rsid w:val="00196FF4"/>
    <w:rsid w:val="001970EF"/>
    <w:rsid w:val="0019734F"/>
    <w:rsid w:val="00197624"/>
    <w:rsid w:val="001A0303"/>
    <w:rsid w:val="001A0313"/>
    <w:rsid w:val="001A0676"/>
    <w:rsid w:val="001A067A"/>
    <w:rsid w:val="001A06C8"/>
    <w:rsid w:val="001A075C"/>
    <w:rsid w:val="001A1337"/>
    <w:rsid w:val="001A1CAA"/>
    <w:rsid w:val="001A2241"/>
    <w:rsid w:val="001A244F"/>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5D1E"/>
    <w:rsid w:val="001A6164"/>
    <w:rsid w:val="001A61A0"/>
    <w:rsid w:val="001A6AFE"/>
    <w:rsid w:val="001A6E27"/>
    <w:rsid w:val="001A6E6A"/>
    <w:rsid w:val="001A706D"/>
    <w:rsid w:val="001A71EB"/>
    <w:rsid w:val="001A72EE"/>
    <w:rsid w:val="001A7826"/>
    <w:rsid w:val="001A79DA"/>
    <w:rsid w:val="001A7FBA"/>
    <w:rsid w:val="001B007C"/>
    <w:rsid w:val="001B00B2"/>
    <w:rsid w:val="001B0149"/>
    <w:rsid w:val="001B0251"/>
    <w:rsid w:val="001B0407"/>
    <w:rsid w:val="001B0799"/>
    <w:rsid w:val="001B08BE"/>
    <w:rsid w:val="001B1565"/>
    <w:rsid w:val="001B2993"/>
    <w:rsid w:val="001B29AC"/>
    <w:rsid w:val="001B2A29"/>
    <w:rsid w:val="001B2C18"/>
    <w:rsid w:val="001B35C1"/>
    <w:rsid w:val="001B3754"/>
    <w:rsid w:val="001B3A10"/>
    <w:rsid w:val="001B3F72"/>
    <w:rsid w:val="001B4312"/>
    <w:rsid w:val="001B4371"/>
    <w:rsid w:val="001B473E"/>
    <w:rsid w:val="001B5332"/>
    <w:rsid w:val="001B54E9"/>
    <w:rsid w:val="001B55DE"/>
    <w:rsid w:val="001B635D"/>
    <w:rsid w:val="001B70CF"/>
    <w:rsid w:val="001B7244"/>
    <w:rsid w:val="001B748B"/>
    <w:rsid w:val="001B768B"/>
    <w:rsid w:val="001B7905"/>
    <w:rsid w:val="001C005D"/>
    <w:rsid w:val="001C0085"/>
    <w:rsid w:val="001C063F"/>
    <w:rsid w:val="001C0874"/>
    <w:rsid w:val="001C0883"/>
    <w:rsid w:val="001C0F17"/>
    <w:rsid w:val="001C0FF5"/>
    <w:rsid w:val="001C1267"/>
    <w:rsid w:val="001C12A0"/>
    <w:rsid w:val="001C16A9"/>
    <w:rsid w:val="001C19EB"/>
    <w:rsid w:val="001C1E53"/>
    <w:rsid w:val="001C211D"/>
    <w:rsid w:val="001C2159"/>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39"/>
    <w:rsid w:val="001C7F47"/>
    <w:rsid w:val="001D006C"/>
    <w:rsid w:val="001D056C"/>
    <w:rsid w:val="001D0578"/>
    <w:rsid w:val="001D0593"/>
    <w:rsid w:val="001D1258"/>
    <w:rsid w:val="001D18A7"/>
    <w:rsid w:val="001D19F8"/>
    <w:rsid w:val="001D1CFF"/>
    <w:rsid w:val="001D1E1F"/>
    <w:rsid w:val="001D2070"/>
    <w:rsid w:val="001D23A3"/>
    <w:rsid w:val="001D24A0"/>
    <w:rsid w:val="001D2B3C"/>
    <w:rsid w:val="001D2E6C"/>
    <w:rsid w:val="001D2EA7"/>
    <w:rsid w:val="001D2F20"/>
    <w:rsid w:val="001D2F8F"/>
    <w:rsid w:val="001D31C4"/>
    <w:rsid w:val="001D35DC"/>
    <w:rsid w:val="001D43C0"/>
    <w:rsid w:val="001D448E"/>
    <w:rsid w:val="001D46E4"/>
    <w:rsid w:val="001D47CF"/>
    <w:rsid w:val="001D4969"/>
    <w:rsid w:val="001D4AF0"/>
    <w:rsid w:val="001D4C63"/>
    <w:rsid w:val="001D4F24"/>
    <w:rsid w:val="001D506F"/>
    <w:rsid w:val="001D57BC"/>
    <w:rsid w:val="001D65DA"/>
    <w:rsid w:val="001D69C8"/>
    <w:rsid w:val="001D6E61"/>
    <w:rsid w:val="001D6F30"/>
    <w:rsid w:val="001D7260"/>
    <w:rsid w:val="001D7816"/>
    <w:rsid w:val="001D7ADE"/>
    <w:rsid w:val="001D7B96"/>
    <w:rsid w:val="001D7FE2"/>
    <w:rsid w:val="001E0772"/>
    <w:rsid w:val="001E09F4"/>
    <w:rsid w:val="001E0A73"/>
    <w:rsid w:val="001E0F00"/>
    <w:rsid w:val="001E111F"/>
    <w:rsid w:val="001E1284"/>
    <w:rsid w:val="001E1524"/>
    <w:rsid w:val="001E1620"/>
    <w:rsid w:val="001E16D8"/>
    <w:rsid w:val="001E1710"/>
    <w:rsid w:val="001E1D3C"/>
    <w:rsid w:val="001E1DDA"/>
    <w:rsid w:val="001E220A"/>
    <w:rsid w:val="001E251E"/>
    <w:rsid w:val="001E266E"/>
    <w:rsid w:val="001E27EE"/>
    <w:rsid w:val="001E2BCB"/>
    <w:rsid w:val="001E2E7F"/>
    <w:rsid w:val="001E2EEF"/>
    <w:rsid w:val="001E3188"/>
    <w:rsid w:val="001E31D1"/>
    <w:rsid w:val="001E32BE"/>
    <w:rsid w:val="001E3611"/>
    <w:rsid w:val="001E3A45"/>
    <w:rsid w:val="001E420B"/>
    <w:rsid w:val="001E4704"/>
    <w:rsid w:val="001E4F33"/>
    <w:rsid w:val="001E5B27"/>
    <w:rsid w:val="001E5BB2"/>
    <w:rsid w:val="001E5D1F"/>
    <w:rsid w:val="001E6313"/>
    <w:rsid w:val="001E6BDA"/>
    <w:rsid w:val="001E6C1B"/>
    <w:rsid w:val="001E7173"/>
    <w:rsid w:val="001E719A"/>
    <w:rsid w:val="001E750C"/>
    <w:rsid w:val="001E75BA"/>
    <w:rsid w:val="001E7712"/>
    <w:rsid w:val="001E7A8F"/>
    <w:rsid w:val="001E7BE3"/>
    <w:rsid w:val="001E7D26"/>
    <w:rsid w:val="001F020C"/>
    <w:rsid w:val="001F0546"/>
    <w:rsid w:val="001F06D6"/>
    <w:rsid w:val="001F0DDF"/>
    <w:rsid w:val="001F11F0"/>
    <w:rsid w:val="001F16BB"/>
    <w:rsid w:val="001F18E2"/>
    <w:rsid w:val="001F1B1E"/>
    <w:rsid w:val="001F1BEA"/>
    <w:rsid w:val="001F1DFA"/>
    <w:rsid w:val="001F1E26"/>
    <w:rsid w:val="001F22A9"/>
    <w:rsid w:val="001F26E9"/>
    <w:rsid w:val="001F29D5"/>
    <w:rsid w:val="001F2D17"/>
    <w:rsid w:val="001F2E08"/>
    <w:rsid w:val="001F33A0"/>
    <w:rsid w:val="001F35A8"/>
    <w:rsid w:val="001F39AB"/>
    <w:rsid w:val="001F3BEB"/>
    <w:rsid w:val="001F3BF2"/>
    <w:rsid w:val="001F45E8"/>
    <w:rsid w:val="001F49C4"/>
    <w:rsid w:val="001F4E57"/>
    <w:rsid w:val="001F5147"/>
    <w:rsid w:val="001F53A2"/>
    <w:rsid w:val="001F5C95"/>
    <w:rsid w:val="001F5C9E"/>
    <w:rsid w:val="001F5E73"/>
    <w:rsid w:val="001F5ED8"/>
    <w:rsid w:val="001F5F10"/>
    <w:rsid w:val="001F644E"/>
    <w:rsid w:val="001F65C3"/>
    <w:rsid w:val="001F69D4"/>
    <w:rsid w:val="001F6E45"/>
    <w:rsid w:val="001F7317"/>
    <w:rsid w:val="001F7749"/>
    <w:rsid w:val="001F798D"/>
    <w:rsid w:val="001F7DD6"/>
    <w:rsid w:val="002000F2"/>
    <w:rsid w:val="002000FC"/>
    <w:rsid w:val="0020087C"/>
    <w:rsid w:val="002009FF"/>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23"/>
    <w:rsid w:val="00205CB2"/>
    <w:rsid w:val="00205D78"/>
    <w:rsid w:val="00205D98"/>
    <w:rsid w:val="0020610B"/>
    <w:rsid w:val="002063A7"/>
    <w:rsid w:val="0020671A"/>
    <w:rsid w:val="0020674D"/>
    <w:rsid w:val="00206BF6"/>
    <w:rsid w:val="00206E5A"/>
    <w:rsid w:val="00207082"/>
    <w:rsid w:val="0020756C"/>
    <w:rsid w:val="00207613"/>
    <w:rsid w:val="00207847"/>
    <w:rsid w:val="00207AF9"/>
    <w:rsid w:val="00207BB9"/>
    <w:rsid w:val="00207EB6"/>
    <w:rsid w:val="00210174"/>
    <w:rsid w:val="00210336"/>
    <w:rsid w:val="00210415"/>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3995"/>
    <w:rsid w:val="00213F72"/>
    <w:rsid w:val="002140AB"/>
    <w:rsid w:val="00214E0D"/>
    <w:rsid w:val="0021512E"/>
    <w:rsid w:val="0021586D"/>
    <w:rsid w:val="00215D76"/>
    <w:rsid w:val="002162EA"/>
    <w:rsid w:val="002165F9"/>
    <w:rsid w:val="00216685"/>
    <w:rsid w:val="00216B17"/>
    <w:rsid w:val="00216BBF"/>
    <w:rsid w:val="00216D0D"/>
    <w:rsid w:val="00216ED1"/>
    <w:rsid w:val="00217003"/>
    <w:rsid w:val="00217135"/>
    <w:rsid w:val="0021797D"/>
    <w:rsid w:val="00217C32"/>
    <w:rsid w:val="00217CE8"/>
    <w:rsid w:val="0022003A"/>
    <w:rsid w:val="002202EC"/>
    <w:rsid w:val="002204ED"/>
    <w:rsid w:val="002208BE"/>
    <w:rsid w:val="0022091D"/>
    <w:rsid w:val="00220A57"/>
    <w:rsid w:val="00220E92"/>
    <w:rsid w:val="00221022"/>
    <w:rsid w:val="0022135D"/>
    <w:rsid w:val="00221A25"/>
    <w:rsid w:val="00222052"/>
    <w:rsid w:val="002222A4"/>
    <w:rsid w:val="00222AB8"/>
    <w:rsid w:val="00222B25"/>
    <w:rsid w:val="00222DAB"/>
    <w:rsid w:val="00222FE7"/>
    <w:rsid w:val="0022314F"/>
    <w:rsid w:val="00223833"/>
    <w:rsid w:val="00223847"/>
    <w:rsid w:val="002238B4"/>
    <w:rsid w:val="00223ACD"/>
    <w:rsid w:val="00224A38"/>
    <w:rsid w:val="00224A9B"/>
    <w:rsid w:val="00224FBB"/>
    <w:rsid w:val="00225F53"/>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5EB"/>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57"/>
    <w:rsid w:val="00234487"/>
    <w:rsid w:val="002344C8"/>
    <w:rsid w:val="002349C5"/>
    <w:rsid w:val="00234B73"/>
    <w:rsid w:val="00234EDF"/>
    <w:rsid w:val="0023537E"/>
    <w:rsid w:val="00235581"/>
    <w:rsid w:val="00235698"/>
    <w:rsid w:val="00235E9A"/>
    <w:rsid w:val="00236850"/>
    <w:rsid w:val="00236F71"/>
    <w:rsid w:val="0023714F"/>
    <w:rsid w:val="002373FC"/>
    <w:rsid w:val="00237C6F"/>
    <w:rsid w:val="00237D22"/>
    <w:rsid w:val="0024029F"/>
    <w:rsid w:val="00240487"/>
    <w:rsid w:val="00240920"/>
    <w:rsid w:val="00240956"/>
    <w:rsid w:val="00240B7D"/>
    <w:rsid w:val="00240BE9"/>
    <w:rsid w:val="00240C63"/>
    <w:rsid w:val="00240F65"/>
    <w:rsid w:val="0024103F"/>
    <w:rsid w:val="00241C7B"/>
    <w:rsid w:val="00241D6D"/>
    <w:rsid w:val="002421F2"/>
    <w:rsid w:val="00242597"/>
    <w:rsid w:val="00242674"/>
    <w:rsid w:val="0024284B"/>
    <w:rsid w:val="0024286B"/>
    <w:rsid w:val="0024286E"/>
    <w:rsid w:val="00242B2A"/>
    <w:rsid w:val="00242CAE"/>
    <w:rsid w:val="00243ACD"/>
    <w:rsid w:val="00243B7F"/>
    <w:rsid w:val="00243FCB"/>
    <w:rsid w:val="0024445A"/>
    <w:rsid w:val="0024451B"/>
    <w:rsid w:val="00244606"/>
    <w:rsid w:val="00244924"/>
    <w:rsid w:val="002449F4"/>
    <w:rsid w:val="00245115"/>
    <w:rsid w:val="0024514D"/>
    <w:rsid w:val="00245167"/>
    <w:rsid w:val="002451AA"/>
    <w:rsid w:val="0024520E"/>
    <w:rsid w:val="0024530E"/>
    <w:rsid w:val="00245492"/>
    <w:rsid w:val="00245A41"/>
    <w:rsid w:val="00245B70"/>
    <w:rsid w:val="00245D7D"/>
    <w:rsid w:val="00245E39"/>
    <w:rsid w:val="00245E49"/>
    <w:rsid w:val="00245FBA"/>
    <w:rsid w:val="002463E2"/>
    <w:rsid w:val="00246402"/>
    <w:rsid w:val="002469E8"/>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781"/>
    <w:rsid w:val="00251843"/>
    <w:rsid w:val="00251929"/>
    <w:rsid w:val="00251EB1"/>
    <w:rsid w:val="00251F5E"/>
    <w:rsid w:val="00251F78"/>
    <w:rsid w:val="0025204B"/>
    <w:rsid w:val="002524F6"/>
    <w:rsid w:val="00253024"/>
    <w:rsid w:val="002530D6"/>
    <w:rsid w:val="002530D9"/>
    <w:rsid w:val="00253146"/>
    <w:rsid w:val="0025325D"/>
    <w:rsid w:val="002533FF"/>
    <w:rsid w:val="00253400"/>
    <w:rsid w:val="002537F5"/>
    <w:rsid w:val="00253905"/>
    <w:rsid w:val="002539D5"/>
    <w:rsid w:val="0025429A"/>
    <w:rsid w:val="00254F38"/>
    <w:rsid w:val="002550C0"/>
    <w:rsid w:val="002556AC"/>
    <w:rsid w:val="0025655A"/>
    <w:rsid w:val="00256B22"/>
    <w:rsid w:val="00256B25"/>
    <w:rsid w:val="00256D51"/>
    <w:rsid w:val="00256F02"/>
    <w:rsid w:val="002571C8"/>
    <w:rsid w:val="002572CF"/>
    <w:rsid w:val="002572F1"/>
    <w:rsid w:val="00257388"/>
    <w:rsid w:val="002573C4"/>
    <w:rsid w:val="00257A62"/>
    <w:rsid w:val="00257B60"/>
    <w:rsid w:val="00260156"/>
    <w:rsid w:val="00260669"/>
    <w:rsid w:val="0026075E"/>
    <w:rsid w:val="002608BD"/>
    <w:rsid w:val="00260C0F"/>
    <w:rsid w:val="00260FAD"/>
    <w:rsid w:val="002614EE"/>
    <w:rsid w:val="002617F6"/>
    <w:rsid w:val="00261AA0"/>
    <w:rsid w:val="00261D05"/>
    <w:rsid w:val="00261E67"/>
    <w:rsid w:val="002623AC"/>
    <w:rsid w:val="00262979"/>
    <w:rsid w:val="00263038"/>
    <w:rsid w:val="002631DC"/>
    <w:rsid w:val="002631DD"/>
    <w:rsid w:val="0026354B"/>
    <w:rsid w:val="0026382D"/>
    <w:rsid w:val="0026385F"/>
    <w:rsid w:val="00263B75"/>
    <w:rsid w:val="00263B7D"/>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009"/>
    <w:rsid w:val="0027242C"/>
    <w:rsid w:val="00272474"/>
    <w:rsid w:val="0027257A"/>
    <w:rsid w:val="00272736"/>
    <w:rsid w:val="00272D06"/>
    <w:rsid w:val="00272FEB"/>
    <w:rsid w:val="00273644"/>
    <w:rsid w:val="0027365E"/>
    <w:rsid w:val="00273783"/>
    <w:rsid w:val="002738C9"/>
    <w:rsid w:val="00273B2D"/>
    <w:rsid w:val="00273CFB"/>
    <w:rsid w:val="00274035"/>
    <w:rsid w:val="00274668"/>
    <w:rsid w:val="00274CE5"/>
    <w:rsid w:val="00274D08"/>
    <w:rsid w:val="00274DE3"/>
    <w:rsid w:val="00275178"/>
    <w:rsid w:val="0027540F"/>
    <w:rsid w:val="00275464"/>
    <w:rsid w:val="0027568B"/>
    <w:rsid w:val="002756B9"/>
    <w:rsid w:val="002756D5"/>
    <w:rsid w:val="00275B92"/>
    <w:rsid w:val="00275E10"/>
    <w:rsid w:val="00275F3B"/>
    <w:rsid w:val="00276001"/>
    <w:rsid w:val="00276243"/>
    <w:rsid w:val="002764FB"/>
    <w:rsid w:val="00276660"/>
    <w:rsid w:val="002766C9"/>
    <w:rsid w:val="002768E3"/>
    <w:rsid w:val="002769F2"/>
    <w:rsid w:val="00276EF3"/>
    <w:rsid w:val="002774F4"/>
    <w:rsid w:val="00277512"/>
    <w:rsid w:val="002777E4"/>
    <w:rsid w:val="00277E66"/>
    <w:rsid w:val="002801E2"/>
    <w:rsid w:val="00280612"/>
    <w:rsid w:val="0028073A"/>
    <w:rsid w:val="00280960"/>
    <w:rsid w:val="002811EF"/>
    <w:rsid w:val="0028164E"/>
    <w:rsid w:val="0028168F"/>
    <w:rsid w:val="00281718"/>
    <w:rsid w:val="002825CE"/>
    <w:rsid w:val="0028272A"/>
    <w:rsid w:val="00283165"/>
    <w:rsid w:val="002832E7"/>
    <w:rsid w:val="002835B4"/>
    <w:rsid w:val="00283631"/>
    <w:rsid w:val="00284045"/>
    <w:rsid w:val="0028437A"/>
    <w:rsid w:val="00284E7F"/>
    <w:rsid w:val="0028550D"/>
    <w:rsid w:val="00285520"/>
    <w:rsid w:val="00285894"/>
    <w:rsid w:val="00285E28"/>
    <w:rsid w:val="002860CB"/>
    <w:rsid w:val="00286631"/>
    <w:rsid w:val="00286B84"/>
    <w:rsid w:val="00286BD9"/>
    <w:rsid w:val="00286F76"/>
    <w:rsid w:val="00287376"/>
    <w:rsid w:val="002877DE"/>
    <w:rsid w:val="00287821"/>
    <w:rsid w:val="00287C28"/>
    <w:rsid w:val="00287C39"/>
    <w:rsid w:val="00290254"/>
    <w:rsid w:val="00290658"/>
    <w:rsid w:val="00290C50"/>
    <w:rsid w:val="00290C83"/>
    <w:rsid w:val="00290EDD"/>
    <w:rsid w:val="0029130D"/>
    <w:rsid w:val="0029142E"/>
    <w:rsid w:val="002915DA"/>
    <w:rsid w:val="0029178F"/>
    <w:rsid w:val="00291C45"/>
    <w:rsid w:val="00292540"/>
    <w:rsid w:val="0029279E"/>
    <w:rsid w:val="00292904"/>
    <w:rsid w:val="00292DBC"/>
    <w:rsid w:val="00293504"/>
    <w:rsid w:val="00293C02"/>
    <w:rsid w:val="00293C49"/>
    <w:rsid w:val="00294266"/>
    <w:rsid w:val="002944CA"/>
    <w:rsid w:val="00294504"/>
    <w:rsid w:val="00294722"/>
    <w:rsid w:val="00294AB1"/>
    <w:rsid w:val="00294C8C"/>
    <w:rsid w:val="00295226"/>
    <w:rsid w:val="002953D0"/>
    <w:rsid w:val="00295699"/>
    <w:rsid w:val="00295AA0"/>
    <w:rsid w:val="00295C8A"/>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43E"/>
    <w:rsid w:val="002A191F"/>
    <w:rsid w:val="002A1A57"/>
    <w:rsid w:val="002A1DA1"/>
    <w:rsid w:val="002A205B"/>
    <w:rsid w:val="002A21F2"/>
    <w:rsid w:val="002A229B"/>
    <w:rsid w:val="002A2CA7"/>
    <w:rsid w:val="002A2FB8"/>
    <w:rsid w:val="002A31EF"/>
    <w:rsid w:val="002A31FF"/>
    <w:rsid w:val="002A3668"/>
    <w:rsid w:val="002A3691"/>
    <w:rsid w:val="002A3771"/>
    <w:rsid w:val="002A37C5"/>
    <w:rsid w:val="002A3AFD"/>
    <w:rsid w:val="002A3B12"/>
    <w:rsid w:val="002A4102"/>
    <w:rsid w:val="002A42EB"/>
    <w:rsid w:val="002A486A"/>
    <w:rsid w:val="002A4918"/>
    <w:rsid w:val="002A4B7D"/>
    <w:rsid w:val="002A4E20"/>
    <w:rsid w:val="002A523D"/>
    <w:rsid w:val="002A5365"/>
    <w:rsid w:val="002A5B19"/>
    <w:rsid w:val="002A5FC1"/>
    <w:rsid w:val="002A6EF8"/>
    <w:rsid w:val="002A732C"/>
    <w:rsid w:val="002A7671"/>
    <w:rsid w:val="002A7A6A"/>
    <w:rsid w:val="002A7AB4"/>
    <w:rsid w:val="002B07BF"/>
    <w:rsid w:val="002B0805"/>
    <w:rsid w:val="002B0960"/>
    <w:rsid w:val="002B0C99"/>
    <w:rsid w:val="002B0CEE"/>
    <w:rsid w:val="002B10F9"/>
    <w:rsid w:val="002B12C7"/>
    <w:rsid w:val="002B13F2"/>
    <w:rsid w:val="002B1939"/>
    <w:rsid w:val="002B1A5C"/>
    <w:rsid w:val="002B1AFA"/>
    <w:rsid w:val="002B21D6"/>
    <w:rsid w:val="002B2C92"/>
    <w:rsid w:val="002B3081"/>
    <w:rsid w:val="002B318B"/>
    <w:rsid w:val="002B32BC"/>
    <w:rsid w:val="002B340B"/>
    <w:rsid w:val="002B34AE"/>
    <w:rsid w:val="002B39E3"/>
    <w:rsid w:val="002B3B40"/>
    <w:rsid w:val="002B3CEC"/>
    <w:rsid w:val="002B3D90"/>
    <w:rsid w:val="002B453B"/>
    <w:rsid w:val="002B4C39"/>
    <w:rsid w:val="002B5396"/>
    <w:rsid w:val="002B567F"/>
    <w:rsid w:val="002B5E0E"/>
    <w:rsid w:val="002B601A"/>
    <w:rsid w:val="002B61F1"/>
    <w:rsid w:val="002B638F"/>
    <w:rsid w:val="002B64FE"/>
    <w:rsid w:val="002B6661"/>
    <w:rsid w:val="002B694E"/>
    <w:rsid w:val="002B6CC7"/>
    <w:rsid w:val="002B6D31"/>
    <w:rsid w:val="002B6FD5"/>
    <w:rsid w:val="002B70A2"/>
    <w:rsid w:val="002B7D56"/>
    <w:rsid w:val="002C04C2"/>
    <w:rsid w:val="002C0818"/>
    <w:rsid w:val="002C08A0"/>
    <w:rsid w:val="002C0D11"/>
    <w:rsid w:val="002C1B17"/>
    <w:rsid w:val="002C1D21"/>
    <w:rsid w:val="002C203A"/>
    <w:rsid w:val="002C2AE9"/>
    <w:rsid w:val="002C2B29"/>
    <w:rsid w:val="002C2E8A"/>
    <w:rsid w:val="002C2FCD"/>
    <w:rsid w:val="002C3363"/>
    <w:rsid w:val="002C3AE4"/>
    <w:rsid w:val="002C3E89"/>
    <w:rsid w:val="002C42AA"/>
    <w:rsid w:val="002C493A"/>
    <w:rsid w:val="002C4A25"/>
    <w:rsid w:val="002C4AF6"/>
    <w:rsid w:val="002C5160"/>
    <w:rsid w:val="002C5234"/>
    <w:rsid w:val="002C5533"/>
    <w:rsid w:val="002C5620"/>
    <w:rsid w:val="002C5A6B"/>
    <w:rsid w:val="002C61E0"/>
    <w:rsid w:val="002C640C"/>
    <w:rsid w:val="002C6D3C"/>
    <w:rsid w:val="002C7114"/>
    <w:rsid w:val="002C76DE"/>
    <w:rsid w:val="002C7775"/>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0E4"/>
    <w:rsid w:val="002D2A64"/>
    <w:rsid w:val="002D2B4E"/>
    <w:rsid w:val="002D3968"/>
    <w:rsid w:val="002D425A"/>
    <w:rsid w:val="002D4314"/>
    <w:rsid w:val="002D475B"/>
    <w:rsid w:val="002D4A54"/>
    <w:rsid w:val="002D4E37"/>
    <w:rsid w:val="002D52E0"/>
    <w:rsid w:val="002D547D"/>
    <w:rsid w:val="002D5BE1"/>
    <w:rsid w:val="002D5DEA"/>
    <w:rsid w:val="002D6127"/>
    <w:rsid w:val="002D61BE"/>
    <w:rsid w:val="002D61F0"/>
    <w:rsid w:val="002D6624"/>
    <w:rsid w:val="002D6D54"/>
    <w:rsid w:val="002D7235"/>
    <w:rsid w:val="002D72CD"/>
    <w:rsid w:val="002D76E8"/>
    <w:rsid w:val="002D783C"/>
    <w:rsid w:val="002D78EF"/>
    <w:rsid w:val="002D7952"/>
    <w:rsid w:val="002E0527"/>
    <w:rsid w:val="002E0751"/>
    <w:rsid w:val="002E0DFD"/>
    <w:rsid w:val="002E0E5E"/>
    <w:rsid w:val="002E0E94"/>
    <w:rsid w:val="002E15A5"/>
    <w:rsid w:val="002E16BC"/>
    <w:rsid w:val="002E19AD"/>
    <w:rsid w:val="002E1BA1"/>
    <w:rsid w:val="002E1D8A"/>
    <w:rsid w:val="002E1E06"/>
    <w:rsid w:val="002E23B0"/>
    <w:rsid w:val="002E25D2"/>
    <w:rsid w:val="002E2738"/>
    <w:rsid w:val="002E2923"/>
    <w:rsid w:val="002E2A76"/>
    <w:rsid w:val="002E306D"/>
    <w:rsid w:val="002E3653"/>
    <w:rsid w:val="002E38B7"/>
    <w:rsid w:val="002E4301"/>
    <w:rsid w:val="002E46F4"/>
    <w:rsid w:val="002E4980"/>
    <w:rsid w:val="002E58E1"/>
    <w:rsid w:val="002E5BDD"/>
    <w:rsid w:val="002E5C56"/>
    <w:rsid w:val="002E5D86"/>
    <w:rsid w:val="002E5DD7"/>
    <w:rsid w:val="002E6809"/>
    <w:rsid w:val="002E7780"/>
    <w:rsid w:val="002E7DED"/>
    <w:rsid w:val="002F0045"/>
    <w:rsid w:val="002F00F0"/>
    <w:rsid w:val="002F025B"/>
    <w:rsid w:val="002F0684"/>
    <w:rsid w:val="002F09C0"/>
    <w:rsid w:val="002F0ADB"/>
    <w:rsid w:val="002F0E34"/>
    <w:rsid w:val="002F1628"/>
    <w:rsid w:val="002F22C3"/>
    <w:rsid w:val="002F2AE0"/>
    <w:rsid w:val="002F31C4"/>
    <w:rsid w:val="002F322F"/>
    <w:rsid w:val="002F3C04"/>
    <w:rsid w:val="002F3F16"/>
    <w:rsid w:val="002F4058"/>
    <w:rsid w:val="002F413F"/>
    <w:rsid w:val="002F4184"/>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CEA"/>
    <w:rsid w:val="002F5FDA"/>
    <w:rsid w:val="002F63ED"/>
    <w:rsid w:val="002F6AC6"/>
    <w:rsid w:val="002F6BDA"/>
    <w:rsid w:val="002F74E8"/>
    <w:rsid w:val="002F778C"/>
    <w:rsid w:val="002F7919"/>
    <w:rsid w:val="002F7B6D"/>
    <w:rsid w:val="002F7D48"/>
    <w:rsid w:val="002F7EC5"/>
    <w:rsid w:val="002F7F72"/>
    <w:rsid w:val="00300085"/>
    <w:rsid w:val="0030027C"/>
    <w:rsid w:val="003003AD"/>
    <w:rsid w:val="00300750"/>
    <w:rsid w:val="00300DD6"/>
    <w:rsid w:val="00300E5F"/>
    <w:rsid w:val="003011C0"/>
    <w:rsid w:val="003013C1"/>
    <w:rsid w:val="00301686"/>
    <w:rsid w:val="00301DA6"/>
    <w:rsid w:val="00301EE4"/>
    <w:rsid w:val="00302263"/>
    <w:rsid w:val="003024DE"/>
    <w:rsid w:val="00302532"/>
    <w:rsid w:val="00302701"/>
    <w:rsid w:val="00302739"/>
    <w:rsid w:val="00302B48"/>
    <w:rsid w:val="00302EDE"/>
    <w:rsid w:val="00302FEF"/>
    <w:rsid w:val="0030318E"/>
    <w:rsid w:val="00304269"/>
    <w:rsid w:val="00304556"/>
    <w:rsid w:val="00304AC5"/>
    <w:rsid w:val="00304C9E"/>
    <w:rsid w:val="0030598E"/>
    <w:rsid w:val="003065FB"/>
    <w:rsid w:val="00306ED2"/>
    <w:rsid w:val="00306F89"/>
    <w:rsid w:val="0030700F"/>
    <w:rsid w:val="0030749E"/>
    <w:rsid w:val="00307B27"/>
    <w:rsid w:val="00307D88"/>
    <w:rsid w:val="00307E05"/>
    <w:rsid w:val="00307F28"/>
    <w:rsid w:val="003101DC"/>
    <w:rsid w:val="0031049F"/>
    <w:rsid w:val="00310871"/>
    <w:rsid w:val="00310CC6"/>
    <w:rsid w:val="00310F30"/>
    <w:rsid w:val="00311642"/>
    <w:rsid w:val="00311761"/>
    <w:rsid w:val="00311941"/>
    <w:rsid w:val="00311DFF"/>
    <w:rsid w:val="00312709"/>
    <w:rsid w:val="00312ACB"/>
    <w:rsid w:val="003134E8"/>
    <w:rsid w:val="00313765"/>
    <w:rsid w:val="003137A0"/>
    <w:rsid w:val="00313BC1"/>
    <w:rsid w:val="00313C4F"/>
    <w:rsid w:val="00314111"/>
    <w:rsid w:val="003141C2"/>
    <w:rsid w:val="0031478E"/>
    <w:rsid w:val="00314BD0"/>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07"/>
    <w:rsid w:val="00320B1B"/>
    <w:rsid w:val="00320B31"/>
    <w:rsid w:val="00320F1B"/>
    <w:rsid w:val="0032151E"/>
    <w:rsid w:val="0032172E"/>
    <w:rsid w:val="00321822"/>
    <w:rsid w:val="00321B02"/>
    <w:rsid w:val="00321C34"/>
    <w:rsid w:val="00322BC3"/>
    <w:rsid w:val="00322C2B"/>
    <w:rsid w:val="00322E3B"/>
    <w:rsid w:val="003232E3"/>
    <w:rsid w:val="0032396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25"/>
    <w:rsid w:val="00330DE8"/>
    <w:rsid w:val="00331915"/>
    <w:rsid w:val="00331CB8"/>
    <w:rsid w:val="00332123"/>
    <w:rsid w:val="003321C3"/>
    <w:rsid w:val="0033290E"/>
    <w:rsid w:val="00332962"/>
    <w:rsid w:val="00333977"/>
    <w:rsid w:val="00333FCA"/>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BC1"/>
    <w:rsid w:val="00340CC6"/>
    <w:rsid w:val="00340D75"/>
    <w:rsid w:val="00340E58"/>
    <w:rsid w:val="00341087"/>
    <w:rsid w:val="003413C9"/>
    <w:rsid w:val="00341706"/>
    <w:rsid w:val="00341CFA"/>
    <w:rsid w:val="0034246D"/>
    <w:rsid w:val="0034252D"/>
    <w:rsid w:val="00342E4A"/>
    <w:rsid w:val="0034305B"/>
    <w:rsid w:val="00343C24"/>
    <w:rsid w:val="00343FA6"/>
    <w:rsid w:val="00344339"/>
    <w:rsid w:val="00344725"/>
    <w:rsid w:val="00344901"/>
    <w:rsid w:val="0034511B"/>
    <w:rsid w:val="003451B2"/>
    <w:rsid w:val="003453BF"/>
    <w:rsid w:val="0034745C"/>
    <w:rsid w:val="003474CD"/>
    <w:rsid w:val="00347573"/>
    <w:rsid w:val="003479B6"/>
    <w:rsid w:val="0035025F"/>
    <w:rsid w:val="0035041A"/>
    <w:rsid w:val="003505AD"/>
    <w:rsid w:val="00350631"/>
    <w:rsid w:val="00350EE7"/>
    <w:rsid w:val="00350FD2"/>
    <w:rsid w:val="00351439"/>
    <w:rsid w:val="0035180B"/>
    <w:rsid w:val="00351C98"/>
    <w:rsid w:val="0035216E"/>
    <w:rsid w:val="00352759"/>
    <w:rsid w:val="00352828"/>
    <w:rsid w:val="00352952"/>
    <w:rsid w:val="00352DAE"/>
    <w:rsid w:val="003530A0"/>
    <w:rsid w:val="003531B0"/>
    <w:rsid w:val="003532D2"/>
    <w:rsid w:val="003536C0"/>
    <w:rsid w:val="003536C6"/>
    <w:rsid w:val="003539B2"/>
    <w:rsid w:val="00353E4E"/>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0C4C"/>
    <w:rsid w:val="003616B5"/>
    <w:rsid w:val="003617B5"/>
    <w:rsid w:val="0036185C"/>
    <w:rsid w:val="00361B1A"/>
    <w:rsid w:val="0036227D"/>
    <w:rsid w:val="0036262C"/>
    <w:rsid w:val="00362C5A"/>
    <w:rsid w:val="003635B6"/>
    <w:rsid w:val="0036362F"/>
    <w:rsid w:val="00363FC9"/>
    <w:rsid w:val="00365023"/>
    <w:rsid w:val="00365095"/>
    <w:rsid w:val="00365644"/>
    <w:rsid w:val="0036590C"/>
    <w:rsid w:val="003665C5"/>
    <w:rsid w:val="00366829"/>
    <w:rsid w:val="00366B3A"/>
    <w:rsid w:val="00366FFE"/>
    <w:rsid w:val="0036707B"/>
    <w:rsid w:val="00370285"/>
    <w:rsid w:val="003704EE"/>
    <w:rsid w:val="00370880"/>
    <w:rsid w:val="00370EFD"/>
    <w:rsid w:val="00371137"/>
    <w:rsid w:val="003711C5"/>
    <w:rsid w:val="00371965"/>
    <w:rsid w:val="003719F5"/>
    <w:rsid w:val="003719FB"/>
    <w:rsid w:val="00372019"/>
    <w:rsid w:val="00372029"/>
    <w:rsid w:val="003724A1"/>
    <w:rsid w:val="003727E9"/>
    <w:rsid w:val="00372A6B"/>
    <w:rsid w:val="00372C12"/>
    <w:rsid w:val="00372CD9"/>
    <w:rsid w:val="00373B3C"/>
    <w:rsid w:val="00373E10"/>
    <w:rsid w:val="00373F2C"/>
    <w:rsid w:val="0037406C"/>
    <w:rsid w:val="00374191"/>
    <w:rsid w:val="003741D2"/>
    <w:rsid w:val="003744CB"/>
    <w:rsid w:val="0037450B"/>
    <w:rsid w:val="00374804"/>
    <w:rsid w:val="003748F9"/>
    <w:rsid w:val="00374BA0"/>
    <w:rsid w:val="00374C80"/>
    <w:rsid w:val="00374F06"/>
    <w:rsid w:val="00375222"/>
    <w:rsid w:val="00375FFC"/>
    <w:rsid w:val="003763DA"/>
    <w:rsid w:val="003764FA"/>
    <w:rsid w:val="0037665F"/>
    <w:rsid w:val="00376838"/>
    <w:rsid w:val="00376B11"/>
    <w:rsid w:val="00376E0C"/>
    <w:rsid w:val="00376EA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400"/>
    <w:rsid w:val="00383CA5"/>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6C4A"/>
    <w:rsid w:val="00386EC6"/>
    <w:rsid w:val="0038702D"/>
    <w:rsid w:val="003870BC"/>
    <w:rsid w:val="00387283"/>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A44"/>
    <w:rsid w:val="00392DB8"/>
    <w:rsid w:val="003933FD"/>
    <w:rsid w:val="00393657"/>
    <w:rsid w:val="00393A68"/>
    <w:rsid w:val="00393B78"/>
    <w:rsid w:val="003941E4"/>
    <w:rsid w:val="003946B1"/>
    <w:rsid w:val="00394775"/>
    <w:rsid w:val="00394782"/>
    <w:rsid w:val="00394948"/>
    <w:rsid w:val="00394B44"/>
    <w:rsid w:val="00394C3D"/>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97DBE"/>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3D12"/>
    <w:rsid w:val="003A42BB"/>
    <w:rsid w:val="003A44AA"/>
    <w:rsid w:val="003A45FB"/>
    <w:rsid w:val="003A48FC"/>
    <w:rsid w:val="003A4A2C"/>
    <w:rsid w:val="003A4A2E"/>
    <w:rsid w:val="003A4CD4"/>
    <w:rsid w:val="003A4E82"/>
    <w:rsid w:val="003A523B"/>
    <w:rsid w:val="003A5865"/>
    <w:rsid w:val="003A590E"/>
    <w:rsid w:val="003A632A"/>
    <w:rsid w:val="003A6330"/>
    <w:rsid w:val="003A6619"/>
    <w:rsid w:val="003A6CC0"/>
    <w:rsid w:val="003A6D20"/>
    <w:rsid w:val="003A71E1"/>
    <w:rsid w:val="003A76A9"/>
    <w:rsid w:val="003A7747"/>
    <w:rsid w:val="003B016D"/>
    <w:rsid w:val="003B0299"/>
    <w:rsid w:val="003B0B4D"/>
    <w:rsid w:val="003B0FDD"/>
    <w:rsid w:val="003B1315"/>
    <w:rsid w:val="003B1C34"/>
    <w:rsid w:val="003B2448"/>
    <w:rsid w:val="003B248F"/>
    <w:rsid w:val="003B2B79"/>
    <w:rsid w:val="003B2C70"/>
    <w:rsid w:val="003B3171"/>
    <w:rsid w:val="003B3E56"/>
    <w:rsid w:val="003B4039"/>
    <w:rsid w:val="003B4482"/>
    <w:rsid w:val="003B466F"/>
    <w:rsid w:val="003B495C"/>
    <w:rsid w:val="003B4B90"/>
    <w:rsid w:val="003B4D9B"/>
    <w:rsid w:val="003B4E9C"/>
    <w:rsid w:val="003B570F"/>
    <w:rsid w:val="003B5B57"/>
    <w:rsid w:val="003B5B7E"/>
    <w:rsid w:val="003B5BCB"/>
    <w:rsid w:val="003B5E30"/>
    <w:rsid w:val="003B6359"/>
    <w:rsid w:val="003B6CCC"/>
    <w:rsid w:val="003B6FCB"/>
    <w:rsid w:val="003B7020"/>
    <w:rsid w:val="003B7294"/>
    <w:rsid w:val="003B76FE"/>
    <w:rsid w:val="003C009A"/>
    <w:rsid w:val="003C0138"/>
    <w:rsid w:val="003C07D7"/>
    <w:rsid w:val="003C0985"/>
    <w:rsid w:val="003C0E4F"/>
    <w:rsid w:val="003C10B8"/>
    <w:rsid w:val="003C1753"/>
    <w:rsid w:val="003C2035"/>
    <w:rsid w:val="003C246D"/>
    <w:rsid w:val="003C2C9D"/>
    <w:rsid w:val="003C3389"/>
    <w:rsid w:val="003C33BD"/>
    <w:rsid w:val="003C35BB"/>
    <w:rsid w:val="003C3B73"/>
    <w:rsid w:val="003C3D6E"/>
    <w:rsid w:val="003C3F8B"/>
    <w:rsid w:val="003C41B9"/>
    <w:rsid w:val="003C4213"/>
    <w:rsid w:val="003C4250"/>
    <w:rsid w:val="003C44DB"/>
    <w:rsid w:val="003C4B1C"/>
    <w:rsid w:val="003C4F25"/>
    <w:rsid w:val="003C54C3"/>
    <w:rsid w:val="003C6332"/>
    <w:rsid w:val="003C64C1"/>
    <w:rsid w:val="003C64CD"/>
    <w:rsid w:val="003C6580"/>
    <w:rsid w:val="003C670B"/>
    <w:rsid w:val="003C6CCB"/>
    <w:rsid w:val="003C6DA9"/>
    <w:rsid w:val="003C6E98"/>
    <w:rsid w:val="003C7855"/>
    <w:rsid w:val="003C7A99"/>
    <w:rsid w:val="003C7BEC"/>
    <w:rsid w:val="003D0240"/>
    <w:rsid w:val="003D06A7"/>
    <w:rsid w:val="003D0868"/>
    <w:rsid w:val="003D09DA"/>
    <w:rsid w:val="003D0D75"/>
    <w:rsid w:val="003D1CD0"/>
    <w:rsid w:val="003D1F11"/>
    <w:rsid w:val="003D1FA3"/>
    <w:rsid w:val="003D22AC"/>
    <w:rsid w:val="003D2339"/>
    <w:rsid w:val="003D26AA"/>
    <w:rsid w:val="003D2AB4"/>
    <w:rsid w:val="003D2B2A"/>
    <w:rsid w:val="003D2CE4"/>
    <w:rsid w:val="003D2E43"/>
    <w:rsid w:val="003D3AD8"/>
    <w:rsid w:val="003D3EE3"/>
    <w:rsid w:val="003D4350"/>
    <w:rsid w:val="003D4409"/>
    <w:rsid w:val="003D48C2"/>
    <w:rsid w:val="003D519A"/>
    <w:rsid w:val="003D5717"/>
    <w:rsid w:val="003D5878"/>
    <w:rsid w:val="003D59FE"/>
    <w:rsid w:val="003D60C9"/>
    <w:rsid w:val="003D63BA"/>
    <w:rsid w:val="003D680E"/>
    <w:rsid w:val="003D69ED"/>
    <w:rsid w:val="003D6B43"/>
    <w:rsid w:val="003D740C"/>
    <w:rsid w:val="003D75A3"/>
    <w:rsid w:val="003D79E8"/>
    <w:rsid w:val="003E043D"/>
    <w:rsid w:val="003E0487"/>
    <w:rsid w:val="003E0622"/>
    <w:rsid w:val="003E089F"/>
    <w:rsid w:val="003E0974"/>
    <w:rsid w:val="003E0ADB"/>
    <w:rsid w:val="003E0CE4"/>
    <w:rsid w:val="003E16FD"/>
    <w:rsid w:val="003E1868"/>
    <w:rsid w:val="003E197A"/>
    <w:rsid w:val="003E1B00"/>
    <w:rsid w:val="003E1CF4"/>
    <w:rsid w:val="003E23A4"/>
    <w:rsid w:val="003E25B6"/>
    <w:rsid w:val="003E2653"/>
    <w:rsid w:val="003E27B0"/>
    <w:rsid w:val="003E2818"/>
    <w:rsid w:val="003E2932"/>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6F6D"/>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817"/>
    <w:rsid w:val="003F4933"/>
    <w:rsid w:val="003F4977"/>
    <w:rsid w:val="003F49EF"/>
    <w:rsid w:val="003F4A21"/>
    <w:rsid w:val="003F4E1C"/>
    <w:rsid w:val="003F515D"/>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1"/>
    <w:rsid w:val="00400615"/>
    <w:rsid w:val="00400AB0"/>
    <w:rsid w:val="00400D86"/>
    <w:rsid w:val="00400E18"/>
    <w:rsid w:val="004010EF"/>
    <w:rsid w:val="004017C6"/>
    <w:rsid w:val="00401EE7"/>
    <w:rsid w:val="00401F70"/>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245"/>
    <w:rsid w:val="00405898"/>
    <w:rsid w:val="00405A9F"/>
    <w:rsid w:val="00405D95"/>
    <w:rsid w:val="00405F90"/>
    <w:rsid w:val="00406108"/>
    <w:rsid w:val="00406412"/>
    <w:rsid w:val="00406589"/>
    <w:rsid w:val="00406BEF"/>
    <w:rsid w:val="00406D4A"/>
    <w:rsid w:val="00406D9D"/>
    <w:rsid w:val="00406F4B"/>
    <w:rsid w:val="00406FBD"/>
    <w:rsid w:val="004073B0"/>
    <w:rsid w:val="0040748F"/>
    <w:rsid w:val="00407612"/>
    <w:rsid w:val="00407AA8"/>
    <w:rsid w:val="0041029D"/>
    <w:rsid w:val="004102A7"/>
    <w:rsid w:val="00410700"/>
    <w:rsid w:val="00410744"/>
    <w:rsid w:val="00411230"/>
    <w:rsid w:val="00411472"/>
    <w:rsid w:val="00411558"/>
    <w:rsid w:val="004115E3"/>
    <w:rsid w:val="004116C3"/>
    <w:rsid w:val="004118C9"/>
    <w:rsid w:val="00412263"/>
    <w:rsid w:val="0041249C"/>
    <w:rsid w:val="00412697"/>
    <w:rsid w:val="00413369"/>
    <w:rsid w:val="004134A1"/>
    <w:rsid w:val="004137F0"/>
    <w:rsid w:val="004145AE"/>
    <w:rsid w:val="004147F4"/>
    <w:rsid w:val="0041491D"/>
    <w:rsid w:val="00414AB1"/>
    <w:rsid w:val="00414C3F"/>
    <w:rsid w:val="0041539C"/>
    <w:rsid w:val="004153E1"/>
    <w:rsid w:val="0041577E"/>
    <w:rsid w:val="004157F6"/>
    <w:rsid w:val="004159D3"/>
    <w:rsid w:val="00415A14"/>
    <w:rsid w:val="00416091"/>
    <w:rsid w:val="004160B8"/>
    <w:rsid w:val="0041616C"/>
    <w:rsid w:val="0041634C"/>
    <w:rsid w:val="0041637F"/>
    <w:rsid w:val="00416A66"/>
    <w:rsid w:val="00416F3B"/>
    <w:rsid w:val="00417241"/>
    <w:rsid w:val="0041743D"/>
    <w:rsid w:val="004174FC"/>
    <w:rsid w:val="00417678"/>
    <w:rsid w:val="00417D10"/>
    <w:rsid w:val="00420126"/>
    <w:rsid w:val="00420249"/>
    <w:rsid w:val="004203CF"/>
    <w:rsid w:val="00420490"/>
    <w:rsid w:val="00420755"/>
    <w:rsid w:val="00420CB7"/>
    <w:rsid w:val="004213C2"/>
    <w:rsid w:val="004213E8"/>
    <w:rsid w:val="0042156E"/>
    <w:rsid w:val="00421EC6"/>
    <w:rsid w:val="004222BF"/>
    <w:rsid w:val="00422A01"/>
    <w:rsid w:val="00422D62"/>
    <w:rsid w:val="00422DB5"/>
    <w:rsid w:val="004232CC"/>
    <w:rsid w:val="004232D4"/>
    <w:rsid w:val="00423326"/>
    <w:rsid w:val="00423436"/>
    <w:rsid w:val="004239E7"/>
    <w:rsid w:val="00423CBF"/>
    <w:rsid w:val="0042408B"/>
    <w:rsid w:val="004241DA"/>
    <w:rsid w:val="004243AB"/>
    <w:rsid w:val="00424844"/>
    <w:rsid w:val="0042484B"/>
    <w:rsid w:val="00424B16"/>
    <w:rsid w:val="00424CA6"/>
    <w:rsid w:val="00424F87"/>
    <w:rsid w:val="004251F8"/>
    <w:rsid w:val="004253B1"/>
    <w:rsid w:val="00425817"/>
    <w:rsid w:val="00425991"/>
    <w:rsid w:val="00425C97"/>
    <w:rsid w:val="00425E42"/>
    <w:rsid w:val="00425FFD"/>
    <w:rsid w:val="004262F8"/>
    <w:rsid w:val="00426442"/>
    <w:rsid w:val="0042654A"/>
    <w:rsid w:val="00426770"/>
    <w:rsid w:val="00426A93"/>
    <w:rsid w:val="00426C22"/>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13F"/>
    <w:rsid w:val="0043359F"/>
    <w:rsid w:val="00433D8A"/>
    <w:rsid w:val="00434066"/>
    <w:rsid w:val="00434754"/>
    <w:rsid w:val="0043480E"/>
    <w:rsid w:val="00434C24"/>
    <w:rsid w:val="00434D46"/>
    <w:rsid w:val="00435235"/>
    <w:rsid w:val="00435248"/>
    <w:rsid w:val="0043542F"/>
    <w:rsid w:val="004354A4"/>
    <w:rsid w:val="004355EB"/>
    <w:rsid w:val="00435602"/>
    <w:rsid w:val="004356FA"/>
    <w:rsid w:val="004358F4"/>
    <w:rsid w:val="00435CCF"/>
    <w:rsid w:val="00436696"/>
    <w:rsid w:val="00436A3B"/>
    <w:rsid w:val="00436D7C"/>
    <w:rsid w:val="004371AB"/>
    <w:rsid w:val="0043768B"/>
    <w:rsid w:val="00437895"/>
    <w:rsid w:val="00437E77"/>
    <w:rsid w:val="004402A7"/>
    <w:rsid w:val="0044035D"/>
    <w:rsid w:val="00440850"/>
    <w:rsid w:val="00440EA5"/>
    <w:rsid w:val="0044142F"/>
    <w:rsid w:val="0044173B"/>
    <w:rsid w:val="004425C2"/>
    <w:rsid w:val="004426FE"/>
    <w:rsid w:val="00442824"/>
    <w:rsid w:val="00442FFB"/>
    <w:rsid w:val="004430EE"/>
    <w:rsid w:val="004430FD"/>
    <w:rsid w:val="00443586"/>
    <w:rsid w:val="004435E2"/>
    <w:rsid w:val="004439AB"/>
    <w:rsid w:val="00443A73"/>
    <w:rsid w:val="00443BC9"/>
    <w:rsid w:val="004442A7"/>
    <w:rsid w:val="0044463C"/>
    <w:rsid w:val="00444741"/>
    <w:rsid w:val="00444901"/>
    <w:rsid w:val="00444934"/>
    <w:rsid w:val="00444982"/>
    <w:rsid w:val="00444E00"/>
    <w:rsid w:val="00444F5E"/>
    <w:rsid w:val="00445513"/>
    <w:rsid w:val="00445625"/>
    <w:rsid w:val="00445907"/>
    <w:rsid w:val="0044596D"/>
    <w:rsid w:val="00445CFF"/>
    <w:rsid w:val="00445FB3"/>
    <w:rsid w:val="004462AF"/>
    <w:rsid w:val="00446424"/>
    <w:rsid w:val="004464AD"/>
    <w:rsid w:val="0044662A"/>
    <w:rsid w:val="004478FA"/>
    <w:rsid w:val="00447A34"/>
    <w:rsid w:val="00447FB0"/>
    <w:rsid w:val="004502F1"/>
    <w:rsid w:val="004503F9"/>
    <w:rsid w:val="00450778"/>
    <w:rsid w:val="00450D3B"/>
    <w:rsid w:val="0045169D"/>
    <w:rsid w:val="004518D5"/>
    <w:rsid w:val="00451AE6"/>
    <w:rsid w:val="00451B06"/>
    <w:rsid w:val="00451BEB"/>
    <w:rsid w:val="004520FE"/>
    <w:rsid w:val="004526C9"/>
    <w:rsid w:val="004527C0"/>
    <w:rsid w:val="00452D50"/>
    <w:rsid w:val="004533ED"/>
    <w:rsid w:val="00453871"/>
    <w:rsid w:val="00453980"/>
    <w:rsid w:val="00453BB4"/>
    <w:rsid w:val="00453DEF"/>
    <w:rsid w:val="004540AC"/>
    <w:rsid w:val="004543E4"/>
    <w:rsid w:val="004548E5"/>
    <w:rsid w:val="00454ACD"/>
    <w:rsid w:val="00454BD5"/>
    <w:rsid w:val="00454E44"/>
    <w:rsid w:val="00454F08"/>
    <w:rsid w:val="00454F85"/>
    <w:rsid w:val="00455105"/>
    <w:rsid w:val="00455CFC"/>
    <w:rsid w:val="00455E20"/>
    <w:rsid w:val="00456084"/>
    <w:rsid w:val="00456114"/>
    <w:rsid w:val="0045623E"/>
    <w:rsid w:val="00456406"/>
    <w:rsid w:val="00456528"/>
    <w:rsid w:val="00456971"/>
    <w:rsid w:val="00456AC7"/>
    <w:rsid w:val="0045742D"/>
    <w:rsid w:val="00457B50"/>
    <w:rsid w:val="00457C5E"/>
    <w:rsid w:val="00457CA0"/>
    <w:rsid w:val="0046026D"/>
    <w:rsid w:val="0046027A"/>
    <w:rsid w:val="00460535"/>
    <w:rsid w:val="004605CC"/>
    <w:rsid w:val="0046072D"/>
    <w:rsid w:val="00460921"/>
    <w:rsid w:val="00460958"/>
    <w:rsid w:val="00460D3C"/>
    <w:rsid w:val="00460DF0"/>
    <w:rsid w:val="0046110A"/>
    <w:rsid w:val="004612C8"/>
    <w:rsid w:val="0046136B"/>
    <w:rsid w:val="004614A1"/>
    <w:rsid w:val="0046164D"/>
    <w:rsid w:val="004616E5"/>
    <w:rsid w:val="004616FF"/>
    <w:rsid w:val="0046194F"/>
    <w:rsid w:val="00461C00"/>
    <w:rsid w:val="00461DC7"/>
    <w:rsid w:val="00461DE0"/>
    <w:rsid w:val="00462189"/>
    <w:rsid w:val="004622A1"/>
    <w:rsid w:val="004622D0"/>
    <w:rsid w:val="00462420"/>
    <w:rsid w:val="0046260A"/>
    <w:rsid w:val="0046287B"/>
    <w:rsid w:val="00462A8E"/>
    <w:rsid w:val="00462B09"/>
    <w:rsid w:val="00462B31"/>
    <w:rsid w:val="004630D5"/>
    <w:rsid w:val="00463337"/>
    <w:rsid w:val="00463448"/>
    <w:rsid w:val="004636FA"/>
    <w:rsid w:val="00463800"/>
    <w:rsid w:val="00463A9B"/>
    <w:rsid w:val="00463F17"/>
    <w:rsid w:val="0046400B"/>
    <w:rsid w:val="004641A0"/>
    <w:rsid w:val="0046434B"/>
    <w:rsid w:val="00464A82"/>
    <w:rsid w:val="00464EE0"/>
    <w:rsid w:val="00465158"/>
    <w:rsid w:val="00465180"/>
    <w:rsid w:val="00465235"/>
    <w:rsid w:val="00465467"/>
    <w:rsid w:val="00465573"/>
    <w:rsid w:val="00465A81"/>
    <w:rsid w:val="00465EB3"/>
    <w:rsid w:val="004668DF"/>
    <w:rsid w:val="0046765D"/>
    <w:rsid w:val="00470415"/>
    <w:rsid w:val="0047041E"/>
    <w:rsid w:val="00470436"/>
    <w:rsid w:val="0047045E"/>
    <w:rsid w:val="00470628"/>
    <w:rsid w:val="00470750"/>
    <w:rsid w:val="00470893"/>
    <w:rsid w:val="00470A49"/>
    <w:rsid w:val="0047166D"/>
    <w:rsid w:val="00471707"/>
    <w:rsid w:val="00471856"/>
    <w:rsid w:val="00471901"/>
    <w:rsid w:val="00471DB0"/>
    <w:rsid w:val="00471FAB"/>
    <w:rsid w:val="00471FDD"/>
    <w:rsid w:val="00471FFA"/>
    <w:rsid w:val="0047253B"/>
    <w:rsid w:val="004728E2"/>
    <w:rsid w:val="00472ACB"/>
    <w:rsid w:val="004735E8"/>
    <w:rsid w:val="004737D3"/>
    <w:rsid w:val="00473F5F"/>
    <w:rsid w:val="0047410D"/>
    <w:rsid w:val="00474295"/>
    <w:rsid w:val="0047475B"/>
    <w:rsid w:val="00474EA9"/>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3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A4C"/>
    <w:rsid w:val="00487F28"/>
    <w:rsid w:val="004900B3"/>
    <w:rsid w:val="00490185"/>
    <w:rsid w:val="004904D7"/>
    <w:rsid w:val="00490532"/>
    <w:rsid w:val="00490649"/>
    <w:rsid w:val="0049093B"/>
    <w:rsid w:val="00490DCA"/>
    <w:rsid w:val="00490E94"/>
    <w:rsid w:val="00490EE3"/>
    <w:rsid w:val="004911FB"/>
    <w:rsid w:val="00491294"/>
    <w:rsid w:val="0049143D"/>
    <w:rsid w:val="004917C1"/>
    <w:rsid w:val="004918A0"/>
    <w:rsid w:val="004922B4"/>
    <w:rsid w:val="004924E5"/>
    <w:rsid w:val="00492597"/>
    <w:rsid w:val="00492619"/>
    <w:rsid w:val="004927F3"/>
    <w:rsid w:val="00492C2F"/>
    <w:rsid w:val="0049349F"/>
    <w:rsid w:val="004935A4"/>
    <w:rsid w:val="004938AA"/>
    <w:rsid w:val="00493D08"/>
    <w:rsid w:val="00493F66"/>
    <w:rsid w:val="004949D8"/>
    <w:rsid w:val="00494E75"/>
    <w:rsid w:val="00495071"/>
    <w:rsid w:val="00495921"/>
    <w:rsid w:val="00495C78"/>
    <w:rsid w:val="00495E0F"/>
    <w:rsid w:val="00495F5B"/>
    <w:rsid w:val="004961DB"/>
    <w:rsid w:val="0049653E"/>
    <w:rsid w:val="00496BEF"/>
    <w:rsid w:val="00496DC2"/>
    <w:rsid w:val="00496E38"/>
    <w:rsid w:val="00497404"/>
    <w:rsid w:val="00497C03"/>
    <w:rsid w:val="004A01E1"/>
    <w:rsid w:val="004A0E00"/>
    <w:rsid w:val="004A1415"/>
    <w:rsid w:val="004A15F7"/>
    <w:rsid w:val="004A1600"/>
    <w:rsid w:val="004A1AE5"/>
    <w:rsid w:val="004A1C63"/>
    <w:rsid w:val="004A1DAA"/>
    <w:rsid w:val="004A201F"/>
    <w:rsid w:val="004A238C"/>
    <w:rsid w:val="004A23B8"/>
    <w:rsid w:val="004A23C0"/>
    <w:rsid w:val="004A28D4"/>
    <w:rsid w:val="004A2908"/>
    <w:rsid w:val="004A2A24"/>
    <w:rsid w:val="004A2BE1"/>
    <w:rsid w:val="004A2E44"/>
    <w:rsid w:val="004A30BF"/>
    <w:rsid w:val="004A328E"/>
    <w:rsid w:val="004A32C1"/>
    <w:rsid w:val="004A366E"/>
    <w:rsid w:val="004A36C0"/>
    <w:rsid w:val="004A3AA3"/>
    <w:rsid w:val="004A3BF4"/>
    <w:rsid w:val="004A3CB9"/>
    <w:rsid w:val="004A4214"/>
    <w:rsid w:val="004A421E"/>
    <w:rsid w:val="004A450F"/>
    <w:rsid w:val="004A45A9"/>
    <w:rsid w:val="004A45DB"/>
    <w:rsid w:val="004A4625"/>
    <w:rsid w:val="004A4900"/>
    <w:rsid w:val="004A4D38"/>
    <w:rsid w:val="004A4E7E"/>
    <w:rsid w:val="004A4E95"/>
    <w:rsid w:val="004A4EB4"/>
    <w:rsid w:val="004A51FA"/>
    <w:rsid w:val="004A5270"/>
    <w:rsid w:val="004A57FC"/>
    <w:rsid w:val="004A5D36"/>
    <w:rsid w:val="004A6741"/>
    <w:rsid w:val="004A6747"/>
    <w:rsid w:val="004A705C"/>
    <w:rsid w:val="004A7172"/>
    <w:rsid w:val="004A7276"/>
    <w:rsid w:val="004A746B"/>
    <w:rsid w:val="004A770C"/>
    <w:rsid w:val="004A77E0"/>
    <w:rsid w:val="004A7C0D"/>
    <w:rsid w:val="004A7EE7"/>
    <w:rsid w:val="004A7FB0"/>
    <w:rsid w:val="004B00DB"/>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E79"/>
    <w:rsid w:val="004B2F6E"/>
    <w:rsid w:val="004B30D7"/>
    <w:rsid w:val="004B3C3F"/>
    <w:rsid w:val="004B3D92"/>
    <w:rsid w:val="004B4427"/>
    <w:rsid w:val="004B45A2"/>
    <w:rsid w:val="004B46C3"/>
    <w:rsid w:val="004B4789"/>
    <w:rsid w:val="004B4A0F"/>
    <w:rsid w:val="004B4F6B"/>
    <w:rsid w:val="004B50E0"/>
    <w:rsid w:val="004B50E8"/>
    <w:rsid w:val="004B55EC"/>
    <w:rsid w:val="004B6301"/>
    <w:rsid w:val="004B68D0"/>
    <w:rsid w:val="004B6C13"/>
    <w:rsid w:val="004B6FFB"/>
    <w:rsid w:val="004B70D5"/>
    <w:rsid w:val="004B7311"/>
    <w:rsid w:val="004B795F"/>
    <w:rsid w:val="004B7BA5"/>
    <w:rsid w:val="004C0346"/>
    <w:rsid w:val="004C0A42"/>
    <w:rsid w:val="004C0B5B"/>
    <w:rsid w:val="004C0B9A"/>
    <w:rsid w:val="004C0C5C"/>
    <w:rsid w:val="004C0F99"/>
    <w:rsid w:val="004C130D"/>
    <w:rsid w:val="004C1624"/>
    <w:rsid w:val="004C18BF"/>
    <w:rsid w:val="004C18E0"/>
    <w:rsid w:val="004C19E4"/>
    <w:rsid w:val="004C1B85"/>
    <w:rsid w:val="004C1F2D"/>
    <w:rsid w:val="004C2371"/>
    <w:rsid w:val="004C2489"/>
    <w:rsid w:val="004C28A7"/>
    <w:rsid w:val="004C2D2F"/>
    <w:rsid w:val="004C2F01"/>
    <w:rsid w:val="004C30AE"/>
    <w:rsid w:val="004C32D8"/>
    <w:rsid w:val="004C3472"/>
    <w:rsid w:val="004C34E8"/>
    <w:rsid w:val="004C3AD1"/>
    <w:rsid w:val="004C3C51"/>
    <w:rsid w:val="004C419F"/>
    <w:rsid w:val="004C42E9"/>
    <w:rsid w:val="004C47FE"/>
    <w:rsid w:val="004C4B36"/>
    <w:rsid w:val="004C4BCE"/>
    <w:rsid w:val="004C4BF3"/>
    <w:rsid w:val="004C4C03"/>
    <w:rsid w:val="004C4F33"/>
    <w:rsid w:val="004C521E"/>
    <w:rsid w:val="004C5283"/>
    <w:rsid w:val="004C566C"/>
    <w:rsid w:val="004C5B15"/>
    <w:rsid w:val="004C5C44"/>
    <w:rsid w:val="004C5EF0"/>
    <w:rsid w:val="004C63D6"/>
    <w:rsid w:val="004C660B"/>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0F"/>
    <w:rsid w:val="004E071E"/>
    <w:rsid w:val="004E0ABB"/>
    <w:rsid w:val="004E0CD0"/>
    <w:rsid w:val="004E1260"/>
    <w:rsid w:val="004E187E"/>
    <w:rsid w:val="004E1CBB"/>
    <w:rsid w:val="004E1D07"/>
    <w:rsid w:val="004E209D"/>
    <w:rsid w:val="004E21D3"/>
    <w:rsid w:val="004E2E33"/>
    <w:rsid w:val="004E2EE1"/>
    <w:rsid w:val="004E2F51"/>
    <w:rsid w:val="004E3579"/>
    <w:rsid w:val="004E3631"/>
    <w:rsid w:val="004E3892"/>
    <w:rsid w:val="004E3B0E"/>
    <w:rsid w:val="004E3FD8"/>
    <w:rsid w:val="004E471C"/>
    <w:rsid w:val="004E4EF1"/>
    <w:rsid w:val="004E524E"/>
    <w:rsid w:val="004E53AE"/>
    <w:rsid w:val="004E5449"/>
    <w:rsid w:val="004E5710"/>
    <w:rsid w:val="004E5788"/>
    <w:rsid w:val="004E5C61"/>
    <w:rsid w:val="004E5ED1"/>
    <w:rsid w:val="004E6158"/>
    <w:rsid w:val="004E6184"/>
    <w:rsid w:val="004E6463"/>
    <w:rsid w:val="004E6CEA"/>
    <w:rsid w:val="004E6EAC"/>
    <w:rsid w:val="004E6F18"/>
    <w:rsid w:val="004E6FA2"/>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74D"/>
    <w:rsid w:val="004F2826"/>
    <w:rsid w:val="004F2AA6"/>
    <w:rsid w:val="004F2B9C"/>
    <w:rsid w:val="004F2CCE"/>
    <w:rsid w:val="004F304B"/>
    <w:rsid w:val="004F3368"/>
    <w:rsid w:val="004F3546"/>
    <w:rsid w:val="004F359A"/>
    <w:rsid w:val="004F3D55"/>
    <w:rsid w:val="004F3DD1"/>
    <w:rsid w:val="004F4E53"/>
    <w:rsid w:val="004F4E79"/>
    <w:rsid w:val="004F58AB"/>
    <w:rsid w:val="004F5D4A"/>
    <w:rsid w:val="004F5D6E"/>
    <w:rsid w:val="004F5EBB"/>
    <w:rsid w:val="004F6142"/>
    <w:rsid w:val="004F6AFE"/>
    <w:rsid w:val="004F6F20"/>
    <w:rsid w:val="004F735F"/>
    <w:rsid w:val="004F7373"/>
    <w:rsid w:val="004F73A5"/>
    <w:rsid w:val="004F76A6"/>
    <w:rsid w:val="004F7C51"/>
    <w:rsid w:val="004F7F1A"/>
    <w:rsid w:val="0050007A"/>
    <w:rsid w:val="0050031C"/>
    <w:rsid w:val="005004F7"/>
    <w:rsid w:val="00500798"/>
    <w:rsid w:val="005007E7"/>
    <w:rsid w:val="00500946"/>
    <w:rsid w:val="00500A59"/>
    <w:rsid w:val="00500B67"/>
    <w:rsid w:val="00500D79"/>
    <w:rsid w:val="0050132F"/>
    <w:rsid w:val="00501420"/>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3EA"/>
    <w:rsid w:val="00505533"/>
    <w:rsid w:val="005055D4"/>
    <w:rsid w:val="005057FB"/>
    <w:rsid w:val="00505A2A"/>
    <w:rsid w:val="00505B7C"/>
    <w:rsid w:val="00505E28"/>
    <w:rsid w:val="00505E39"/>
    <w:rsid w:val="005060FB"/>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0"/>
    <w:rsid w:val="00510626"/>
    <w:rsid w:val="00510CE2"/>
    <w:rsid w:val="0051110C"/>
    <w:rsid w:val="00511599"/>
    <w:rsid w:val="005119D6"/>
    <w:rsid w:val="00511E67"/>
    <w:rsid w:val="00512536"/>
    <w:rsid w:val="005126FC"/>
    <w:rsid w:val="00512747"/>
    <w:rsid w:val="00512925"/>
    <w:rsid w:val="00512A7B"/>
    <w:rsid w:val="00512D39"/>
    <w:rsid w:val="005138A5"/>
    <w:rsid w:val="00513A89"/>
    <w:rsid w:val="00513ACA"/>
    <w:rsid w:val="00513B8C"/>
    <w:rsid w:val="00513EAD"/>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17BD7"/>
    <w:rsid w:val="0052001B"/>
    <w:rsid w:val="00520518"/>
    <w:rsid w:val="0052098B"/>
    <w:rsid w:val="00520AE3"/>
    <w:rsid w:val="00521294"/>
    <w:rsid w:val="0052173F"/>
    <w:rsid w:val="00521B34"/>
    <w:rsid w:val="00521D65"/>
    <w:rsid w:val="005221A4"/>
    <w:rsid w:val="005227BA"/>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71A"/>
    <w:rsid w:val="00527860"/>
    <w:rsid w:val="00527A58"/>
    <w:rsid w:val="0053012B"/>
    <w:rsid w:val="0053037A"/>
    <w:rsid w:val="0053066C"/>
    <w:rsid w:val="005306C5"/>
    <w:rsid w:val="005306EF"/>
    <w:rsid w:val="005307C7"/>
    <w:rsid w:val="00530AFD"/>
    <w:rsid w:val="00531562"/>
    <w:rsid w:val="005315C9"/>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BA8"/>
    <w:rsid w:val="00533C61"/>
    <w:rsid w:val="00533F4E"/>
    <w:rsid w:val="00534699"/>
    <w:rsid w:val="005347FB"/>
    <w:rsid w:val="00534963"/>
    <w:rsid w:val="005349EB"/>
    <w:rsid w:val="00534AA6"/>
    <w:rsid w:val="00534C83"/>
    <w:rsid w:val="00534EE4"/>
    <w:rsid w:val="00535A27"/>
    <w:rsid w:val="00535B60"/>
    <w:rsid w:val="00535CF7"/>
    <w:rsid w:val="00536195"/>
    <w:rsid w:val="00536592"/>
    <w:rsid w:val="00536AEE"/>
    <w:rsid w:val="00536D47"/>
    <w:rsid w:val="00537092"/>
    <w:rsid w:val="00537640"/>
    <w:rsid w:val="005378C0"/>
    <w:rsid w:val="00537989"/>
    <w:rsid w:val="00537BE9"/>
    <w:rsid w:val="00540055"/>
    <w:rsid w:val="00540147"/>
    <w:rsid w:val="00540258"/>
    <w:rsid w:val="00540725"/>
    <w:rsid w:val="005408AA"/>
    <w:rsid w:val="00540C7A"/>
    <w:rsid w:val="005417A0"/>
    <w:rsid w:val="005417ED"/>
    <w:rsid w:val="0054183A"/>
    <w:rsid w:val="00541D0D"/>
    <w:rsid w:val="00541E2B"/>
    <w:rsid w:val="005421BB"/>
    <w:rsid w:val="00542548"/>
    <w:rsid w:val="00542761"/>
    <w:rsid w:val="0054340E"/>
    <w:rsid w:val="0054348B"/>
    <w:rsid w:val="005436D7"/>
    <w:rsid w:val="00543703"/>
    <w:rsid w:val="005438E4"/>
    <w:rsid w:val="00543A06"/>
    <w:rsid w:val="00543A66"/>
    <w:rsid w:val="00543A83"/>
    <w:rsid w:val="00543B1F"/>
    <w:rsid w:val="00543FA3"/>
    <w:rsid w:val="00544899"/>
    <w:rsid w:val="005452C0"/>
    <w:rsid w:val="0054556F"/>
    <w:rsid w:val="0054564F"/>
    <w:rsid w:val="005456AD"/>
    <w:rsid w:val="00545C3D"/>
    <w:rsid w:val="00545D45"/>
    <w:rsid w:val="00545E6A"/>
    <w:rsid w:val="00546310"/>
    <w:rsid w:val="00546479"/>
    <w:rsid w:val="00546738"/>
    <w:rsid w:val="005467D6"/>
    <w:rsid w:val="00546942"/>
    <w:rsid w:val="00546B44"/>
    <w:rsid w:val="00546CDA"/>
    <w:rsid w:val="00546D63"/>
    <w:rsid w:val="00546EE2"/>
    <w:rsid w:val="005471A3"/>
    <w:rsid w:val="00547D9B"/>
    <w:rsid w:val="00547F14"/>
    <w:rsid w:val="00550243"/>
    <w:rsid w:val="00550515"/>
    <w:rsid w:val="0055088A"/>
    <w:rsid w:val="00550D6F"/>
    <w:rsid w:val="005511B1"/>
    <w:rsid w:val="00551248"/>
    <w:rsid w:val="00551483"/>
    <w:rsid w:val="0055157F"/>
    <w:rsid w:val="00551593"/>
    <w:rsid w:val="005517E3"/>
    <w:rsid w:val="00551E52"/>
    <w:rsid w:val="00552038"/>
    <w:rsid w:val="0055233E"/>
    <w:rsid w:val="00552521"/>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96F"/>
    <w:rsid w:val="00555A5C"/>
    <w:rsid w:val="00555D6F"/>
    <w:rsid w:val="00556680"/>
    <w:rsid w:val="005567BF"/>
    <w:rsid w:val="005569D2"/>
    <w:rsid w:val="00556BD3"/>
    <w:rsid w:val="00556CA4"/>
    <w:rsid w:val="00556F39"/>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8E6"/>
    <w:rsid w:val="00562CDC"/>
    <w:rsid w:val="00563FD2"/>
    <w:rsid w:val="0056434D"/>
    <w:rsid w:val="00564597"/>
    <w:rsid w:val="00564EB9"/>
    <w:rsid w:val="00564ED1"/>
    <w:rsid w:val="00565321"/>
    <w:rsid w:val="00565F03"/>
    <w:rsid w:val="00565FC8"/>
    <w:rsid w:val="00565FEF"/>
    <w:rsid w:val="00566855"/>
    <w:rsid w:val="00566C25"/>
    <w:rsid w:val="0056719E"/>
    <w:rsid w:val="00567207"/>
    <w:rsid w:val="005676F8"/>
    <w:rsid w:val="00567B3B"/>
    <w:rsid w:val="00567B75"/>
    <w:rsid w:val="00570150"/>
    <w:rsid w:val="005701C5"/>
    <w:rsid w:val="0057021C"/>
    <w:rsid w:val="0057025F"/>
    <w:rsid w:val="00570367"/>
    <w:rsid w:val="00570390"/>
    <w:rsid w:val="005703E3"/>
    <w:rsid w:val="0057054C"/>
    <w:rsid w:val="00570618"/>
    <w:rsid w:val="00570764"/>
    <w:rsid w:val="0057088B"/>
    <w:rsid w:val="005708C3"/>
    <w:rsid w:val="005708C6"/>
    <w:rsid w:val="00570C83"/>
    <w:rsid w:val="00570EF6"/>
    <w:rsid w:val="00571358"/>
    <w:rsid w:val="00571382"/>
    <w:rsid w:val="005713EF"/>
    <w:rsid w:val="0057195D"/>
    <w:rsid w:val="005719F4"/>
    <w:rsid w:val="00571B71"/>
    <w:rsid w:val="00571EB6"/>
    <w:rsid w:val="0057229E"/>
    <w:rsid w:val="00572551"/>
    <w:rsid w:val="00572583"/>
    <w:rsid w:val="00572643"/>
    <w:rsid w:val="00572995"/>
    <w:rsid w:val="005729A6"/>
    <w:rsid w:val="00572F26"/>
    <w:rsid w:val="0057308F"/>
    <w:rsid w:val="005730FF"/>
    <w:rsid w:val="0057380A"/>
    <w:rsid w:val="00573BB0"/>
    <w:rsid w:val="00573D2B"/>
    <w:rsid w:val="00573F24"/>
    <w:rsid w:val="00574167"/>
    <w:rsid w:val="00574D14"/>
    <w:rsid w:val="00574FDC"/>
    <w:rsid w:val="005753CA"/>
    <w:rsid w:val="005753DB"/>
    <w:rsid w:val="005756BD"/>
    <w:rsid w:val="00575A53"/>
    <w:rsid w:val="00575E09"/>
    <w:rsid w:val="005760C5"/>
    <w:rsid w:val="0057621D"/>
    <w:rsid w:val="005766EA"/>
    <w:rsid w:val="00576903"/>
    <w:rsid w:val="00576A37"/>
    <w:rsid w:val="0057720D"/>
    <w:rsid w:val="00577368"/>
    <w:rsid w:val="005773FF"/>
    <w:rsid w:val="00577540"/>
    <w:rsid w:val="005777AC"/>
    <w:rsid w:val="00577E83"/>
    <w:rsid w:val="00577EB4"/>
    <w:rsid w:val="00580C65"/>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6A7"/>
    <w:rsid w:val="00584AA2"/>
    <w:rsid w:val="005852AA"/>
    <w:rsid w:val="005855AF"/>
    <w:rsid w:val="00585867"/>
    <w:rsid w:val="00585C3A"/>
    <w:rsid w:val="00585EB3"/>
    <w:rsid w:val="00586013"/>
    <w:rsid w:val="00586182"/>
    <w:rsid w:val="0058628A"/>
    <w:rsid w:val="00586B34"/>
    <w:rsid w:val="00586C24"/>
    <w:rsid w:val="00587117"/>
    <w:rsid w:val="0058759B"/>
    <w:rsid w:val="0058764D"/>
    <w:rsid w:val="00587FD7"/>
    <w:rsid w:val="005909AD"/>
    <w:rsid w:val="00590BF6"/>
    <w:rsid w:val="00591B9C"/>
    <w:rsid w:val="00591C29"/>
    <w:rsid w:val="00592160"/>
    <w:rsid w:val="005923C9"/>
    <w:rsid w:val="00592630"/>
    <w:rsid w:val="0059284F"/>
    <w:rsid w:val="00592E68"/>
    <w:rsid w:val="00592FD6"/>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63A"/>
    <w:rsid w:val="005978AF"/>
    <w:rsid w:val="00597A36"/>
    <w:rsid w:val="00597DF6"/>
    <w:rsid w:val="00597FAA"/>
    <w:rsid w:val="005A0274"/>
    <w:rsid w:val="005A049F"/>
    <w:rsid w:val="005A05C6"/>
    <w:rsid w:val="005A0753"/>
    <w:rsid w:val="005A0854"/>
    <w:rsid w:val="005A0CB6"/>
    <w:rsid w:val="005A0E88"/>
    <w:rsid w:val="005A0EFD"/>
    <w:rsid w:val="005A1242"/>
    <w:rsid w:val="005A13FE"/>
    <w:rsid w:val="005A14AD"/>
    <w:rsid w:val="005A18F9"/>
    <w:rsid w:val="005A1AA7"/>
    <w:rsid w:val="005A1BAF"/>
    <w:rsid w:val="005A1C03"/>
    <w:rsid w:val="005A1CC6"/>
    <w:rsid w:val="005A2072"/>
    <w:rsid w:val="005A21FB"/>
    <w:rsid w:val="005A2229"/>
    <w:rsid w:val="005A23BE"/>
    <w:rsid w:val="005A320D"/>
    <w:rsid w:val="005A36E3"/>
    <w:rsid w:val="005A3A31"/>
    <w:rsid w:val="005A416C"/>
    <w:rsid w:val="005A4F5B"/>
    <w:rsid w:val="005A4FEB"/>
    <w:rsid w:val="005A53A4"/>
    <w:rsid w:val="005A54DF"/>
    <w:rsid w:val="005A588D"/>
    <w:rsid w:val="005A59CF"/>
    <w:rsid w:val="005A6223"/>
    <w:rsid w:val="005A638E"/>
    <w:rsid w:val="005A6A3A"/>
    <w:rsid w:val="005A6B69"/>
    <w:rsid w:val="005A6E87"/>
    <w:rsid w:val="005A7668"/>
    <w:rsid w:val="005A7F72"/>
    <w:rsid w:val="005B0424"/>
    <w:rsid w:val="005B05DB"/>
    <w:rsid w:val="005B0A7D"/>
    <w:rsid w:val="005B0F18"/>
    <w:rsid w:val="005B1197"/>
    <w:rsid w:val="005B16CC"/>
    <w:rsid w:val="005B18BB"/>
    <w:rsid w:val="005B2011"/>
    <w:rsid w:val="005B2269"/>
    <w:rsid w:val="005B2899"/>
    <w:rsid w:val="005B29DE"/>
    <w:rsid w:val="005B2DA2"/>
    <w:rsid w:val="005B2EB8"/>
    <w:rsid w:val="005B355C"/>
    <w:rsid w:val="005B3C7C"/>
    <w:rsid w:val="005B411A"/>
    <w:rsid w:val="005B46DB"/>
    <w:rsid w:val="005B46FD"/>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4F7"/>
    <w:rsid w:val="005B7824"/>
    <w:rsid w:val="005B7A4C"/>
    <w:rsid w:val="005B7A5C"/>
    <w:rsid w:val="005C001C"/>
    <w:rsid w:val="005C01BD"/>
    <w:rsid w:val="005C0625"/>
    <w:rsid w:val="005C0904"/>
    <w:rsid w:val="005C09BF"/>
    <w:rsid w:val="005C0B24"/>
    <w:rsid w:val="005C0D61"/>
    <w:rsid w:val="005C0DDE"/>
    <w:rsid w:val="005C0EC2"/>
    <w:rsid w:val="005C1225"/>
    <w:rsid w:val="005C132F"/>
    <w:rsid w:val="005C1752"/>
    <w:rsid w:val="005C1BF2"/>
    <w:rsid w:val="005C2144"/>
    <w:rsid w:val="005C247C"/>
    <w:rsid w:val="005C27D4"/>
    <w:rsid w:val="005C2D32"/>
    <w:rsid w:val="005C2F71"/>
    <w:rsid w:val="005C3022"/>
    <w:rsid w:val="005C33CE"/>
    <w:rsid w:val="005C376D"/>
    <w:rsid w:val="005C428B"/>
    <w:rsid w:val="005C44FA"/>
    <w:rsid w:val="005C46D7"/>
    <w:rsid w:val="005C482B"/>
    <w:rsid w:val="005C49E2"/>
    <w:rsid w:val="005C4B4D"/>
    <w:rsid w:val="005C4CD6"/>
    <w:rsid w:val="005C4DE3"/>
    <w:rsid w:val="005C5024"/>
    <w:rsid w:val="005C5372"/>
    <w:rsid w:val="005C5379"/>
    <w:rsid w:val="005C537D"/>
    <w:rsid w:val="005C5425"/>
    <w:rsid w:val="005C5849"/>
    <w:rsid w:val="005C5A28"/>
    <w:rsid w:val="005C6222"/>
    <w:rsid w:val="005C6B26"/>
    <w:rsid w:val="005C6BB5"/>
    <w:rsid w:val="005C6CEB"/>
    <w:rsid w:val="005C6D76"/>
    <w:rsid w:val="005C772B"/>
    <w:rsid w:val="005C7777"/>
    <w:rsid w:val="005C7A54"/>
    <w:rsid w:val="005C7CAD"/>
    <w:rsid w:val="005C7CF2"/>
    <w:rsid w:val="005C7EF8"/>
    <w:rsid w:val="005D01D7"/>
    <w:rsid w:val="005D02FA"/>
    <w:rsid w:val="005D047B"/>
    <w:rsid w:val="005D06F6"/>
    <w:rsid w:val="005D0790"/>
    <w:rsid w:val="005D0C3F"/>
    <w:rsid w:val="005D0D3E"/>
    <w:rsid w:val="005D10F4"/>
    <w:rsid w:val="005D17BF"/>
    <w:rsid w:val="005D17F9"/>
    <w:rsid w:val="005D18B1"/>
    <w:rsid w:val="005D1A65"/>
    <w:rsid w:val="005D1C04"/>
    <w:rsid w:val="005D20FC"/>
    <w:rsid w:val="005D24A2"/>
    <w:rsid w:val="005D25D7"/>
    <w:rsid w:val="005D2A49"/>
    <w:rsid w:val="005D2CB0"/>
    <w:rsid w:val="005D2EE8"/>
    <w:rsid w:val="005D3534"/>
    <w:rsid w:val="005D3707"/>
    <w:rsid w:val="005D382F"/>
    <w:rsid w:val="005D389B"/>
    <w:rsid w:val="005D38C9"/>
    <w:rsid w:val="005D3AF0"/>
    <w:rsid w:val="005D3BFD"/>
    <w:rsid w:val="005D4120"/>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0E7B"/>
    <w:rsid w:val="005E1393"/>
    <w:rsid w:val="005E1411"/>
    <w:rsid w:val="005E18CE"/>
    <w:rsid w:val="005E1BD0"/>
    <w:rsid w:val="005E2C9A"/>
    <w:rsid w:val="005E3035"/>
    <w:rsid w:val="005E30A1"/>
    <w:rsid w:val="005E3292"/>
    <w:rsid w:val="005E3513"/>
    <w:rsid w:val="005E35FD"/>
    <w:rsid w:val="005E383F"/>
    <w:rsid w:val="005E3B77"/>
    <w:rsid w:val="005E3F5F"/>
    <w:rsid w:val="005E4165"/>
    <w:rsid w:val="005E48F7"/>
    <w:rsid w:val="005E4CCB"/>
    <w:rsid w:val="005E5130"/>
    <w:rsid w:val="005E5536"/>
    <w:rsid w:val="005E5563"/>
    <w:rsid w:val="005E57FE"/>
    <w:rsid w:val="005E59C5"/>
    <w:rsid w:val="005E59E3"/>
    <w:rsid w:val="005E5E10"/>
    <w:rsid w:val="005E5E74"/>
    <w:rsid w:val="005E66F1"/>
    <w:rsid w:val="005E6AFB"/>
    <w:rsid w:val="005E6E37"/>
    <w:rsid w:val="005E7698"/>
    <w:rsid w:val="005E7773"/>
    <w:rsid w:val="005E7849"/>
    <w:rsid w:val="005E7A8C"/>
    <w:rsid w:val="005F06FA"/>
    <w:rsid w:val="005F06FD"/>
    <w:rsid w:val="005F0B4C"/>
    <w:rsid w:val="005F0B53"/>
    <w:rsid w:val="005F0C46"/>
    <w:rsid w:val="005F1543"/>
    <w:rsid w:val="005F1FE4"/>
    <w:rsid w:val="005F2528"/>
    <w:rsid w:val="005F276C"/>
    <w:rsid w:val="005F27D4"/>
    <w:rsid w:val="005F369B"/>
    <w:rsid w:val="005F38C5"/>
    <w:rsid w:val="005F3955"/>
    <w:rsid w:val="005F3CFC"/>
    <w:rsid w:val="005F3F7F"/>
    <w:rsid w:val="005F40E5"/>
    <w:rsid w:val="005F419B"/>
    <w:rsid w:val="005F46D9"/>
    <w:rsid w:val="005F485F"/>
    <w:rsid w:val="005F4950"/>
    <w:rsid w:val="005F4D16"/>
    <w:rsid w:val="005F4EDD"/>
    <w:rsid w:val="005F523F"/>
    <w:rsid w:val="005F5362"/>
    <w:rsid w:val="005F547B"/>
    <w:rsid w:val="005F556F"/>
    <w:rsid w:val="005F5C3D"/>
    <w:rsid w:val="005F5E61"/>
    <w:rsid w:val="005F60B5"/>
    <w:rsid w:val="005F6400"/>
    <w:rsid w:val="005F660A"/>
    <w:rsid w:val="005F6697"/>
    <w:rsid w:val="005F69DD"/>
    <w:rsid w:val="005F6CA5"/>
    <w:rsid w:val="005F6EF0"/>
    <w:rsid w:val="005F6F60"/>
    <w:rsid w:val="005F6F9C"/>
    <w:rsid w:val="005F6FFC"/>
    <w:rsid w:val="005F76BE"/>
    <w:rsid w:val="005F7CC1"/>
    <w:rsid w:val="005F7D8A"/>
    <w:rsid w:val="005F7DFD"/>
    <w:rsid w:val="006002BB"/>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90"/>
    <w:rsid w:val="006039C5"/>
    <w:rsid w:val="00603B1B"/>
    <w:rsid w:val="006043D7"/>
    <w:rsid w:val="00604594"/>
    <w:rsid w:val="00604708"/>
    <w:rsid w:val="00604CFF"/>
    <w:rsid w:val="00605399"/>
    <w:rsid w:val="006054EE"/>
    <w:rsid w:val="0060591D"/>
    <w:rsid w:val="006059EC"/>
    <w:rsid w:val="00605A02"/>
    <w:rsid w:val="00605A5D"/>
    <w:rsid w:val="00605B5D"/>
    <w:rsid w:val="00605D54"/>
    <w:rsid w:val="00606E5E"/>
    <w:rsid w:val="00606F72"/>
    <w:rsid w:val="006074B1"/>
    <w:rsid w:val="00607ADE"/>
    <w:rsid w:val="00607E68"/>
    <w:rsid w:val="00610224"/>
    <w:rsid w:val="006102C6"/>
    <w:rsid w:val="006103F0"/>
    <w:rsid w:val="00610B78"/>
    <w:rsid w:val="006113A9"/>
    <w:rsid w:val="006117DE"/>
    <w:rsid w:val="00611C82"/>
    <w:rsid w:val="00611FFC"/>
    <w:rsid w:val="006125DB"/>
    <w:rsid w:val="0061263D"/>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7D6"/>
    <w:rsid w:val="00616885"/>
    <w:rsid w:val="00616B91"/>
    <w:rsid w:val="00616F90"/>
    <w:rsid w:val="0061717B"/>
    <w:rsid w:val="0061717F"/>
    <w:rsid w:val="006175CF"/>
    <w:rsid w:val="006178BC"/>
    <w:rsid w:val="00617B93"/>
    <w:rsid w:val="0062001A"/>
    <w:rsid w:val="00620020"/>
    <w:rsid w:val="00620049"/>
    <w:rsid w:val="006200E1"/>
    <w:rsid w:val="00620157"/>
    <w:rsid w:val="006201A2"/>
    <w:rsid w:val="006201CD"/>
    <w:rsid w:val="006201F5"/>
    <w:rsid w:val="00620254"/>
    <w:rsid w:val="006205EA"/>
    <w:rsid w:val="00620686"/>
    <w:rsid w:val="006206A2"/>
    <w:rsid w:val="00620721"/>
    <w:rsid w:val="006209E8"/>
    <w:rsid w:val="00621367"/>
    <w:rsid w:val="006215AA"/>
    <w:rsid w:val="00621701"/>
    <w:rsid w:val="00621B6A"/>
    <w:rsid w:val="00621BDD"/>
    <w:rsid w:val="00621C0B"/>
    <w:rsid w:val="00621C72"/>
    <w:rsid w:val="00621CAD"/>
    <w:rsid w:val="00623427"/>
    <w:rsid w:val="006234D4"/>
    <w:rsid w:val="00623682"/>
    <w:rsid w:val="00623AEB"/>
    <w:rsid w:val="00623D53"/>
    <w:rsid w:val="00623E4E"/>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0BCA"/>
    <w:rsid w:val="00631007"/>
    <w:rsid w:val="00631042"/>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475"/>
    <w:rsid w:val="006344F7"/>
    <w:rsid w:val="006346F1"/>
    <w:rsid w:val="006347F5"/>
    <w:rsid w:val="006353D0"/>
    <w:rsid w:val="00635EDC"/>
    <w:rsid w:val="00635F56"/>
    <w:rsid w:val="00636094"/>
    <w:rsid w:val="0063633A"/>
    <w:rsid w:val="0063650D"/>
    <w:rsid w:val="0063661E"/>
    <w:rsid w:val="00636835"/>
    <w:rsid w:val="00636A76"/>
    <w:rsid w:val="006371C8"/>
    <w:rsid w:val="0063720A"/>
    <w:rsid w:val="006373C7"/>
    <w:rsid w:val="00637E00"/>
    <w:rsid w:val="006401C6"/>
    <w:rsid w:val="00640207"/>
    <w:rsid w:val="00640222"/>
    <w:rsid w:val="006407CC"/>
    <w:rsid w:val="006408F1"/>
    <w:rsid w:val="006409F3"/>
    <w:rsid w:val="00640B73"/>
    <w:rsid w:val="00641061"/>
    <w:rsid w:val="006411DF"/>
    <w:rsid w:val="00641313"/>
    <w:rsid w:val="006413F9"/>
    <w:rsid w:val="006419ED"/>
    <w:rsid w:val="006424E3"/>
    <w:rsid w:val="006427DE"/>
    <w:rsid w:val="00642976"/>
    <w:rsid w:val="00642D10"/>
    <w:rsid w:val="00642E65"/>
    <w:rsid w:val="00643769"/>
    <w:rsid w:val="006437D5"/>
    <w:rsid w:val="00643891"/>
    <w:rsid w:val="00643DCD"/>
    <w:rsid w:val="00644200"/>
    <w:rsid w:val="00644267"/>
    <w:rsid w:val="0064428B"/>
    <w:rsid w:val="0064439E"/>
    <w:rsid w:val="006443C6"/>
    <w:rsid w:val="00644511"/>
    <w:rsid w:val="006447E4"/>
    <w:rsid w:val="0064486C"/>
    <w:rsid w:val="00644AB6"/>
    <w:rsid w:val="00644E60"/>
    <w:rsid w:val="00644EC7"/>
    <w:rsid w:val="00645190"/>
    <w:rsid w:val="00645ACC"/>
    <w:rsid w:val="00645C2C"/>
    <w:rsid w:val="0064615B"/>
    <w:rsid w:val="0064669F"/>
    <w:rsid w:val="006466B5"/>
    <w:rsid w:val="00646C84"/>
    <w:rsid w:val="00647231"/>
    <w:rsid w:val="006477A7"/>
    <w:rsid w:val="00647BB6"/>
    <w:rsid w:val="00647CB3"/>
    <w:rsid w:val="00650052"/>
    <w:rsid w:val="00650150"/>
    <w:rsid w:val="00650854"/>
    <w:rsid w:val="0065086F"/>
    <w:rsid w:val="00650D1E"/>
    <w:rsid w:val="00650D3F"/>
    <w:rsid w:val="00650D82"/>
    <w:rsid w:val="00650EB1"/>
    <w:rsid w:val="00650EB8"/>
    <w:rsid w:val="00650F7C"/>
    <w:rsid w:val="00650FBE"/>
    <w:rsid w:val="006513D5"/>
    <w:rsid w:val="0065175B"/>
    <w:rsid w:val="006518B1"/>
    <w:rsid w:val="00651AD3"/>
    <w:rsid w:val="00651B74"/>
    <w:rsid w:val="00651FA0"/>
    <w:rsid w:val="0065249E"/>
    <w:rsid w:val="006531E9"/>
    <w:rsid w:val="00653217"/>
    <w:rsid w:val="00653273"/>
    <w:rsid w:val="00653FED"/>
    <w:rsid w:val="0065424F"/>
    <w:rsid w:val="006543F3"/>
    <w:rsid w:val="006544F6"/>
    <w:rsid w:val="00655070"/>
    <w:rsid w:val="00655223"/>
    <w:rsid w:val="00655780"/>
    <w:rsid w:val="0065594D"/>
    <w:rsid w:val="00655E39"/>
    <w:rsid w:val="006561FF"/>
    <w:rsid w:val="00656D6F"/>
    <w:rsid w:val="00657005"/>
    <w:rsid w:val="006572FB"/>
    <w:rsid w:val="00657861"/>
    <w:rsid w:val="006578D9"/>
    <w:rsid w:val="00657AEA"/>
    <w:rsid w:val="00657F67"/>
    <w:rsid w:val="006605DC"/>
    <w:rsid w:val="00660FCA"/>
    <w:rsid w:val="0066111D"/>
    <w:rsid w:val="0066146F"/>
    <w:rsid w:val="00661636"/>
    <w:rsid w:val="00661C4E"/>
    <w:rsid w:val="00661CC2"/>
    <w:rsid w:val="00662166"/>
    <w:rsid w:val="0066236D"/>
    <w:rsid w:val="0066246F"/>
    <w:rsid w:val="00662717"/>
    <w:rsid w:val="006628D0"/>
    <w:rsid w:val="00662FA2"/>
    <w:rsid w:val="0066310A"/>
    <w:rsid w:val="006635DC"/>
    <w:rsid w:val="0066369A"/>
    <w:rsid w:val="0066386C"/>
    <w:rsid w:val="006638FF"/>
    <w:rsid w:val="00663908"/>
    <w:rsid w:val="00663A5B"/>
    <w:rsid w:val="00663DAB"/>
    <w:rsid w:val="00663F72"/>
    <w:rsid w:val="0066428F"/>
    <w:rsid w:val="00664678"/>
    <w:rsid w:val="006646F4"/>
    <w:rsid w:val="00664DA7"/>
    <w:rsid w:val="00665229"/>
    <w:rsid w:val="00665316"/>
    <w:rsid w:val="006654E8"/>
    <w:rsid w:val="0066568F"/>
    <w:rsid w:val="00665ABF"/>
    <w:rsid w:val="00665CCE"/>
    <w:rsid w:val="006668E7"/>
    <w:rsid w:val="00666E49"/>
    <w:rsid w:val="00666EE7"/>
    <w:rsid w:val="00666FED"/>
    <w:rsid w:val="006672FC"/>
    <w:rsid w:val="00667378"/>
    <w:rsid w:val="0066745C"/>
    <w:rsid w:val="00667A27"/>
    <w:rsid w:val="00670204"/>
    <w:rsid w:val="00670290"/>
    <w:rsid w:val="006704BF"/>
    <w:rsid w:val="00670646"/>
    <w:rsid w:val="00670AD6"/>
    <w:rsid w:val="00670ECD"/>
    <w:rsid w:val="00671010"/>
    <w:rsid w:val="0067106A"/>
    <w:rsid w:val="00671757"/>
    <w:rsid w:val="00671B4F"/>
    <w:rsid w:val="00671ED0"/>
    <w:rsid w:val="006725AF"/>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140"/>
    <w:rsid w:val="0067649C"/>
    <w:rsid w:val="006767B8"/>
    <w:rsid w:val="00677725"/>
    <w:rsid w:val="00677F10"/>
    <w:rsid w:val="0068013A"/>
    <w:rsid w:val="0068027C"/>
    <w:rsid w:val="00680358"/>
    <w:rsid w:val="0068079C"/>
    <w:rsid w:val="00680A97"/>
    <w:rsid w:val="00680B9E"/>
    <w:rsid w:val="00680F00"/>
    <w:rsid w:val="00680F30"/>
    <w:rsid w:val="00680F81"/>
    <w:rsid w:val="0068102D"/>
    <w:rsid w:val="00681254"/>
    <w:rsid w:val="00681307"/>
    <w:rsid w:val="006820C0"/>
    <w:rsid w:val="0068226B"/>
    <w:rsid w:val="00682E47"/>
    <w:rsid w:val="00682ED3"/>
    <w:rsid w:val="006839BA"/>
    <w:rsid w:val="00683D7F"/>
    <w:rsid w:val="00683E9E"/>
    <w:rsid w:val="00683EA2"/>
    <w:rsid w:val="00683F24"/>
    <w:rsid w:val="0068414A"/>
    <w:rsid w:val="00684258"/>
    <w:rsid w:val="00684309"/>
    <w:rsid w:val="006845C9"/>
    <w:rsid w:val="006853FF"/>
    <w:rsid w:val="00685725"/>
    <w:rsid w:val="00685834"/>
    <w:rsid w:val="00685D3B"/>
    <w:rsid w:val="00685DB7"/>
    <w:rsid w:val="0068623E"/>
    <w:rsid w:val="00686366"/>
    <w:rsid w:val="0068653A"/>
    <w:rsid w:val="00686A14"/>
    <w:rsid w:val="00686F9B"/>
    <w:rsid w:val="00686FAD"/>
    <w:rsid w:val="00686FF0"/>
    <w:rsid w:val="0068721F"/>
    <w:rsid w:val="006877A8"/>
    <w:rsid w:val="006878B2"/>
    <w:rsid w:val="00687A10"/>
    <w:rsid w:val="00687A5E"/>
    <w:rsid w:val="00687CD6"/>
    <w:rsid w:val="00690D12"/>
    <w:rsid w:val="00690D5A"/>
    <w:rsid w:val="00690F0E"/>
    <w:rsid w:val="006919C5"/>
    <w:rsid w:val="00691C22"/>
    <w:rsid w:val="00692799"/>
    <w:rsid w:val="006927F0"/>
    <w:rsid w:val="00692A0D"/>
    <w:rsid w:val="00692BDC"/>
    <w:rsid w:val="00693077"/>
    <w:rsid w:val="00693295"/>
    <w:rsid w:val="00693529"/>
    <w:rsid w:val="006935E1"/>
    <w:rsid w:val="00693A5C"/>
    <w:rsid w:val="00693F0A"/>
    <w:rsid w:val="0069447C"/>
    <w:rsid w:val="006949AD"/>
    <w:rsid w:val="00694C2E"/>
    <w:rsid w:val="00694E1F"/>
    <w:rsid w:val="00696244"/>
    <w:rsid w:val="006969D6"/>
    <w:rsid w:val="00696B6A"/>
    <w:rsid w:val="00696DD1"/>
    <w:rsid w:val="00697469"/>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885"/>
    <w:rsid w:val="006A29BF"/>
    <w:rsid w:val="006A2BF5"/>
    <w:rsid w:val="006A2D0E"/>
    <w:rsid w:val="006A2E66"/>
    <w:rsid w:val="006A3178"/>
    <w:rsid w:val="006A3227"/>
    <w:rsid w:val="006A3396"/>
    <w:rsid w:val="006A33C9"/>
    <w:rsid w:val="006A351E"/>
    <w:rsid w:val="006A3ED6"/>
    <w:rsid w:val="006A3F94"/>
    <w:rsid w:val="006A40D0"/>
    <w:rsid w:val="006A4113"/>
    <w:rsid w:val="006A49B5"/>
    <w:rsid w:val="006A4A39"/>
    <w:rsid w:val="006A4AB6"/>
    <w:rsid w:val="006A4F1A"/>
    <w:rsid w:val="006A4F48"/>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5111"/>
    <w:rsid w:val="006B51C3"/>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BA2"/>
    <w:rsid w:val="006C0CBE"/>
    <w:rsid w:val="006C0D37"/>
    <w:rsid w:val="006C1142"/>
    <w:rsid w:val="006C1A29"/>
    <w:rsid w:val="006C1B3F"/>
    <w:rsid w:val="006C1F77"/>
    <w:rsid w:val="006C22BD"/>
    <w:rsid w:val="006C2604"/>
    <w:rsid w:val="006C3309"/>
    <w:rsid w:val="006C375B"/>
    <w:rsid w:val="006C3C7B"/>
    <w:rsid w:val="006C3FF3"/>
    <w:rsid w:val="006C44D3"/>
    <w:rsid w:val="006C45C1"/>
    <w:rsid w:val="006C4B11"/>
    <w:rsid w:val="006C4BFB"/>
    <w:rsid w:val="006C4D69"/>
    <w:rsid w:val="006C4E89"/>
    <w:rsid w:val="006C50C3"/>
    <w:rsid w:val="006C51A3"/>
    <w:rsid w:val="006C54AC"/>
    <w:rsid w:val="006C566C"/>
    <w:rsid w:val="006C57EC"/>
    <w:rsid w:val="006C5816"/>
    <w:rsid w:val="006C5BF4"/>
    <w:rsid w:val="006C5C20"/>
    <w:rsid w:val="006C5FF1"/>
    <w:rsid w:val="006C6287"/>
    <w:rsid w:val="006C677C"/>
    <w:rsid w:val="006C6E40"/>
    <w:rsid w:val="006C6E92"/>
    <w:rsid w:val="006C75C9"/>
    <w:rsid w:val="006C7934"/>
    <w:rsid w:val="006C7CAC"/>
    <w:rsid w:val="006C7D3B"/>
    <w:rsid w:val="006C7FB9"/>
    <w:rsid w:val="006D0556"/>
    <w:rsid w:val="006D0846"/>
    <w:rsid w:val="006D0C09"/>
    <w:rsid w:val="006D0DBE"/>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9D2"/>
    <w:rsid w:val="006D5457"/>
    <w:rsid w:val="006D56B0"/>
    <w:rsid w:val="006D59BF"/>
    <w:rsid w:val="006D5A62"/>
    <w:rsid w:val="006D5DB0"/>
    <w:rsid w:val="006D5EC2"/>
    <w:rsid w:val="006D5FEF"/>
    <w:rsid w:val="006D6134"/>
    <w:rsid w:val="006D63A5"/>
    <w:rsid w:val="006D667A"/>
    <w:rsid w:val="006D7115"/>
    <w:rsid w:val="006D72E1"/>
    <w:rsid w:val="006D74C9"/>
    <w:rsid w:val="006D7598"/>
    <w:rsid w:val="006D7B93"/>
    <w:rsid w:val="006D7BBD"/>
    <w:rsid w:val="006D7C30"/>
    <w:rsid w:val="006D7D69"/>
    <w:rsid w:val="006D7DAD"/>
    <w:rsid w:val="006D7EC6"/>
    <w:rsid w:val="006E0566"/>
    <w:rsid w:val="006E06CA"/>
    <w:rsid w:val="006E0B16"/>
    <w:rsid w:val="006E0E90"/>
    <w:rsid w:val="006E0F7D"/>
    <w:rsid w:val="006E102F"/>
    <w:rsid w:val="006E1135"/>
    <w:rsid w:val="006E1469"/>
    <w:rsid w:val="006E176F"/>
    <w:rsid w:val="006E1C34"/>
    <w:rsid w:val="006E1E45"/>
    <w:rsid w:val="006E22CC"/>
    <w:rsid w:val="006E3D3A"/>
    <w:rsid w:val="006E4646"/>
    <w:rsid w:val="006E4E12"/>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311"/>
    <w:rsid w:val="006F25FE"/>
    <w:rsid w:val="006F291E"/>
    <w:rsid w:val="006F2F4D"/>
    <w:rsid w:val="006F3052"/>
    <w:rsid w:val="006F314D"/>
    <w:rsid w:val="006F3B01"/>
    <w:rsid w:val="006F3C66"/>
    <w:rsid w:val="006F4189"/>
    <w:rsid w:val="006F468E"/>
    <w:rsid w:val="006F49E3"/>
    <w:rsid w:val="006F5367"/>
    <w:rsid w:val="006F557B"/>
    <w:rsid w:val="006F5674"/>
    <w:rsid w:val="006F5B41"/>
    <w:rsid w:val="006F65F9"/>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208B"/>
    <w:rsid w:val="00702561"/>
    <w:rsid w:val="007032E6"/>
    <w:rsid w:val="007036E5"/>
    <w:rsid w:val="00703D8A"/>
    <w:rsid w:val="00704123"/>
    <w:rsid w:val="00704641"/>
    <w:rsid w:val="007047A7"/>
    <w:rsid w:val="007050A6"/>
    <w:rsid w:val="007056ED"/>
    <w:rsid w:val="00705D28"/>
    <w:rsid w:val="00706AC2"/>
    <w:rsid w:val="00706F18"/>
    <w:rsid w:val="00707077"/>
    <w:rsid w:val="007072C8"/>
    <w:rsid w:val="0070743B"/>
    <w:rsid w:val="00707518"/>
    <w:rsid w:val="00707643"/>
    <w:rsid w:val="0070779D"/>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687"/>
    <w:rsid w:val="00712A0F"/>
    <w:rsid w:val="00712FDB"/>
    <w:rsid w:val="007131B0"/>
    <w:rsid w:val="0071371F"/>
    <w:rsid w:val="0071374D"/>
    <w:rsid w:val="00714065"/>
    <w:rsid w:val="00714186"/>
    <w:rsid w:val="00714312"/>
    <w:rsid w:val="007144C8"/>
    <w:rsid w:val="00714504"/>
    <w:rsid w:val="00714796"/>
    <w:rsid w:val="00714D6A"/>
    <w:rsid w:val="00715E3D"/>
    <w:rsid w:val="00715F49"/>
    <w:rsid w:val="00715FC5"/>
    <w:rsid w:val="0071603B"/>
    <w:rsid w:val="00716324"/>
    <w:rsid w:val="007163BF"/>
    <w:rsid w:val="0071649C"/>
    <w:rsid w:val="00716B63"/>
    <w:rsid w:val="00716FC0"/>
    <w:rsid w:val="00717267"/>
    <w:rsid w:val="00717300"/>
    <w:rsid w:val="00717890"/>
    <w:rsid w:val="007178EE"/>
    <w:rsid w:val="00720759"/>
    <w:rsid w:val="00720A0C"/>
    <w:rsid w:val="007215A9"/>
    <w:rsid w:val="007218B7"/>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918"/>
    <w:rsid w:val="00726EA1"/>
    <w:rsid w:val="007273EC"/>
    <w:rsid w:val="007279F1"/>
    <w:rsid w:val="00727E3C"/>
    <w:rsid w:val="00727E9F"/>
    <w:rsid w:val="00730F0F"/>
    <w:rsid w:val="00730FB9"/>
    <w:rsid w:val="0073128B"/>
    <w:rsid w:val="0073150C"/>
    <w:rsid w:val="0073171A"/>
    <w:rsid w:val="00732134"/>
    <w:rsid w:val="007325D3"/>
    <w:rsid w:val="00732885"/>
    <w:rsid w:val="007332A0"/>
    <w:rsid w:val="00733575"/>
    <w:rsid w:val="00733759"/>
    <w:rsid w:val="00733858"/>
    <w:rsid w:val="00733A80"/>
    <w:rsid w:val="0073487C"/>
    <w:rsid w:val="0073497A"/>
    <w:rsid w:val="0073532A"/>
    <w:rsid w:val="00735E35"/>
    <w:rsid w:val="0073602C"/>
    <w:rsid w:val="0073637C"/>
    <w:rsid w:val="00736732"/>
    <w:rsid w:val="00736803"/>
    <w:rsid w:val="00736886"/>
    <w:rsid w:val="00736CE4"/>
    <w:rsid w:val="00736D7B"/>
    <w:rsid w:val="007377ED"/>
    <w:rsid w:val="007379C8"/>
    <w:rsid w:val="00737D0B"/>
    <w:rsid w:val="00737EDE"/>
    <w:rsid w:val="007406A2"/>
    <w:rsid w:val="007406C0"/>
    <w:rsid w:val="00740AC1"/>
    <w:rsid w:val="00740B5C"/>
    <w:rsid w:val="00740BF9"/>
    <w:rsid w:val="00740DD7"/>
    <w:rsid w:val="0074108B"/>
    <w:rsid w:val="00741434"/>
    <w:rsid w:val="0074146A"/>
    <w:rsid w:val="007415B6"/>
    <w:rsid w:val="007416EB"/>
    <w:rsid w:val="00741A56"/>
    <w:rsid w:val="00741CAE"/>
    <w:rsid w:val="007420C9"/>
    <w:rsid w:val="0074232F"/>
    <w:rsid w:val="00742695"/>
    <w:rsid w:val="00742A51"/>
    <w:rsid w:val="007431F5"/>
    <w:rsid w:val="00743468"/>
    <w:rsid w:val="007435B1"/>
    <w:rsid w:val="007436B1"/>
    <w:rsid w:val="007436D5"/>
    <w:rsid w:val="00743867"/>
    <w:rsid w:val="00743B94"/>
    <w:rsid w:val="00743D54"/>
    <w:rsid w:val="00744055"/>
    <w:rsid w:val="0074443A"/>
    <w:rsid w:val="0074462D"/>
    <w:rsid w:val="0074475B"/>
    <w:rsid w:val="00744E4F"/>
    <w:rsid w:val="00744EC9"/>
    <w:rsid w:val="0074544C"/>
    <w:rsid w:val="007454DA"/>
    <w:rsid w:val="0074576E"/>
    <w:rsid w:val="0074587B"/>
    <w:rsid w:val="007458E7"/>
    <w:rsid w:val="00745EBB"/>
    <w:rsid w:val="00746167"/>
    <w:rsid w:val="00746199"/>
    <w:rsid w:val="007466F6"/>
    <w:rsid w:val="00746914"/>
    <w:rsid w:val="00746D90"/>
    <w:rsid w:val="00747440"/>
    <w:rsid w:val="00747446"/>
    <w:rsid w:val="007475BE"/>
    <w:rsid w:val="00747A12"/>
    <w:rsid w:val="00747BD8"/>
    <w:rsid w:val="00747F05"/>
    <w:rsid w:val="0075038A"/>
    <w:rsid w:val="007503B7"/>
    <w:rsid w:val="0075076E"/>
    <w:rsid w:val="007509F9"/>
    <w:rsid w:val="00751B32"/>
    <w:rsid w:val="00751DF6"/>
    <w:rsid w:val="00751F76"/>
    <w:rsid w:val="00752497"/>
    <w:rsid w:val="007524E2"/>
    <w:rsid w:val="00752FE7"/>
    <w:rsid w:val="00753023"/>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724"/>
    <w:rsid w:val="00756F15"/>
    <w:rsid w:val="00756F16"/>
    <w:rsid w:val="00756F1E"/>
    <w:rsid w:val="007572E9"/>
    <w:rsid w:val="00757A61"/>
    <w:rsid w:val="00757C04"/>
    <w:rsid w:val="00757CD9"/>
    <w:rsid w:val="00757E8E"/>
    <w:rsid w:val="00757FE8"/>
    <w:rsid w:val="007600CF"/>
    <w:rsid w:val="0076015A"/>
    <w:rsid w:val="0076031F"/>
    <w:rsid w:val="007605A0"/>
    <w:rsid w:val="00760756"/>
    <w:rsid w:val="007609D4"/>
    <w:rsid w:val="00760D79"/>
    <w:rsid w:val="0076116A"/>
    <w:rsid w:val="00761332"/>
    <w:rsid w:val="007613AF"/>
    <w:rsid w:val="0076145C"/>
    <w:rsid w:val="007619FB"/>
    <w:rsid w:val="00761A37"/>
    <w:rsid w:val="00761DA2"/>
    <w:rsid w:val="00761F21"/>
    <w:rsid w:val="0076200C"/>
    <w:rsid w:val="00762924"/>
    <w:rsid w:val="0076295C"/>
    <w:rsid w:val="00762FA7"/>
    <w:rsid w:val="00763055"/>
    <w:rsid w:val="007631DC"/>
    <w:rsid w:val="00763314"/>
    <w:rsid w:val="00763432"/>
    <w:rsid w:val="00763448"/>
    <w:rsid w:val="00763DBE"/>
    <w:rsid w:val="00763EB7"/>
    <w:rsid w:val="00763F45"/>
    <w:rsid w:val="00764043"/>
    <w:rsid w:val="00764EB8"/>
    <w:rsid w:val="00765098"/>
    <w:rsid w:val="007650A8"/>
    <w:rsid w:val="00765217"/>
    <w:rsid w:val="0076539C"/>
    <w:rsid w:val="00765832"/>
    <w:rsid w:val="00765884"/>
    <w:rsid w:val="00765B35"/>
    <w:rsid w:val="00765FDC"/>
    <w:rsid w:val="007663A3"/>
    <w:rsid w:val="00766559"/>
    <w:rsid w:val="007669EF"/>
    <w:rsid w:val="00766B0E"/>
    <w:rsid w:val="00766BFB"/>
    <w:rsid w:val="00766C3A"/>
    <w:rsid w:val="00766ED2"/>
    <w:rsid w:val="0076731C"/>
    <w:rsid w:val="0076747C"/>
    <w:rsid w:val="007674C6"/>
    <w:rsid w:val="00767703"/>
    <w:rsid w:val="007678B6"/>
    <w:rsid w:val="007700B2"/>
    <w:rsid w:val="007700C8"/>
    <w:rsid w:val="00770116"/>
    <w:rsid w:val="007702AC"/>
    <w:rsid w:val="007702D4"/>
    <w:rsid w:val="007704B1"/>
    <w:rsid w:val="00770CEE"/>
    <w:rsid w:val="00770D96"/>
    <w:rsid w:val="0077115B"/>
    <w:rsid w:val="0077151F"/>
    <w:rsid w:val="00771A0C"/>
    <w:rsid w:val="00771A40"/>
    <w:rsid w:val="007721AD"/>
    <w:rsid w:val="00772232"/>
    <w:rsid w:val="007723D7"/>
    <w:rsid w:val="007728F4"/>
    <w:rsid w:val="00772D15"/>
    <w:rsid w:val="00772DC3"/>
    <w:rsid w:val="007733C4"/>
    <w:rsid w:val="00773755"/>
    <w:rsid w:val="00773833"/>
    <w:rsid w:val="00773C2B"/>
    <w:rsid w:val="00773EC7"/>
    <w:rsid w:val="007743A1"/>
    <w:rsid w:val="007744EF"/>
    <w:rsid w:val="00775907"/>
    <w:rsid w:val="00775ADE"/>
    <w:rsid w:val="00775BAA"/>
    <w:rsid w:val="00775C35"/>
    <w:rsid w:val="00775EFD"/>
    <w:rsid w:val="00775F11"/>
    <w:rsid w:val="00776351"/>
    <w:rsid w:val="00776393"/>
    <w:rsid w:val="007765B0"/>
    <w:rsid w:val="00776679"/>
    <w:rsid w:val="007768F2"/>
    <w:rsid w:val="00776C10"/>
    <w:rsid w:val="00776E9E"/>
    <w:rsid w:val="00776F98"/>
    <w:rsid w:val="00776FDD"/>
    <w:rsid w:val="00777053"/>
    <w:rsid w:val="007775DE"/>
    <w:rsid w:val="00777B46"/>
    <w:rsid w:val="00777EE9"/>
    <w:rsid w:val="00777FA5"/>
    <w:rsid w:val="00780980"/>
    <w:rsid w:val="007809E1"/>
    <w:rsid w:val="00780A03"/>
    <w:rsid w:val="00780AF4"/>
    <w:rsid w:val="00780F3D"/>
    <w:rsid w:val="007810E9"/>
    <w:rsid w:val="007812CC"/>
    <w:rsid w:val="007813E0"/>
    <w:rsid w:val="0078146E"/>
    <w:rsid w:val="0078165E"/>
    <w:rsid w:val="007816FD"/>
    <w:rsid w:val="00781790"/>
    <w:rsid w:val="00781B9A"/>
    <w:rsid w:val="00781BC7"/>
    <w:rsid w:val="00781DAD"/>
    <w:rsid w:val="0078243D"/>
    <w:rsid w:val="00782A98"/>
    <w:rsid w:val="00782D8A"/>
    <w:rsid w:val="007833C3"/>
    <w:rsid w:val="007837BE"/>
    <w:rsid w:val="0078380D"/>
    <w:rsid w:val="00783DE3"/>
    <w:rsid w:val="00784112"/>
    <w:rsid w:val="007842FE"/>
    <w:rsid w:val="0078440C"/>
    <w:rsid w:val="00784702"/>
    <w:rsid w:val="00784C31"/>
    <w:rsid w:val="00784EA1"/>
    <w:rsid w:val="00784ECF"/>
    <w:rsid w:val="00784FC7"/>
    <w:rsid w:val="00784FF1"/>
    <w:rsid w:val="007856F5"/>
    <w:rsid w:val="007859E1"/>
    <w:rsid w:val="00785A8D"/>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24B"/>
    <w:rsid w:val="007936FE"/>
    <w:rsid w:val="00793774"/>
    <w:rsid w:val="00793901"/>
    <w:rsid w:val="007939C7"/>
    <w:rsid w:val="00793F70"/>
    <w:rsid w:val="007947FB"/>
    <w:rsid w:val="00794DFE"/>
    <w:rsid w:val="00794F17"/>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72D"/>
    <w:rsid w:val="007A1A41"/>
    <w:rsid w:val="007A1B63"/>
    <w:rsid w:val="007A22D6"/>
    <w:rsid w:val="007A2BFF"/>
    <w:rsid w:val="007A2D56"/>
    <w:rsid w:val="007A3226"/>
    <w:rsid w:val="007A32E9"/>
    <w:rsid w:val="007A3395"/>
    <w:rsid w:val="007A3505"/>
    <w:rsid w:val="007A35A2"/>
    <w:rsid w:val="007A3BF2"/>
    <w:rsid w:val="007A4338"/>
    <w:rsid w:val="007A4AF1"/>
    <w:rsid w:val="007A5288"/>
    <w:rsid w:val="007A591F"/>
    <w:rsid w:val="007A5C80"/>
    <w:rsid w:val="007A5F87"/>
    <w:rsid w:val="007A6053"/>
    <w:rsid w:val="007A618D"/>
    <w:rsid w:val="007A6206"/>
    <w:rsid w:val="007A6256"/>
    <w:rsid w:val="007A6333"/>
    <w:rsid w:val="007A6477"/>
    <w:rsid w:val="007A650C"/>
    <w:rsid w:val="007A66AC"/>
    <w:rsid w:val="007A675A"/>
    <w:rsid w:val="007A6909"/>
    <w:rsid w:val="007A6A76"/>
    <w:rsid w:val="007A6C3B"/>
    <w:rsid w:val="007A6D83"/>
    <w:rsid w:val="007A6F03"/>
    <w:rsid w:val="007A7228"/>
    <w:rsid w:val="007A75A3"/>
    <w:rsid w:val="007A768A"/>
    <w:rsid w:val="007A7AD5"/>
    <w:rsid w:val="007A7DB8"/>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64E"/>
    <w:rsid w:val="007B4937"/>
    <w:rsid w:val="007B4D3D"/>
    <w:rsid w:val="007B5500"/>
    <w:rsid w:val="007B550D"/>
    <w:rsid w:val="007B56F0"/>
    <w:rsid w:val="007B5A66"/>
    <w:rsid w:val="007B618C"/>
    <w:rsid w:val="007B630D"/>
    <w:rsid w:val="007B645F"/>
    <w:rsid w:val="007B6B0D"/>
    <w:rsid w:val="007B6DB8"/>
    <w:rsid w:val="007B7011"/>
    <w:rsid w:val="007B77B0"/>
    <w:rsid w:val="007B77FB"/>
    <w:rsid w:val="007B7ABA"/>
    <w:rsid w:val="007B7D58"/>
    <w:rsid w:val="007B7E59"/>
    <w:rsid w:val="007C055A"/>
    <w:rsid w:val="007C0880"/>
    <w:rsid w:val="007C0AE5"/>
    <w:rsid w:val="007C0BD2"/>
    <w:rsid w:val="007C0F1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0BE"/>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3C4"/>
    <w:rsid w:val="007D0645"/>
    <w:rsid w:val="007D098C"/>
    <w:rsid w:val="007D09F7"/>
    <w:rsid w:val="007D0C9D"/>
    <w:rsid w:val="007D0E32"/>
    <w:rsid w:val="007D1115"/>
    <w:rsid w:val="007D11B6"/>
    <w:rsid w:val="007D149C"/>
    <w:rsid w:val="007D163B"/>
    <w:rsid w:val="007D1B2B"/>
    <w:rsid w:val="007D1B7C"/>
    <w:rsid w:val="007D214A"/>
    <w:rsid w:val="007D357E"/>
    <w:rsid w:val="007D3889"/>
    <w:rsid w:val="007D389C"/>
    <w:rsid w:val="007D38E0"/>
    <w:rsid w:val="007D39D7"/>
    <w:rsid w:val="007D478D"/>
    <w:rsid w:val="007D4838"/>
    <w:rsid w:val="007D4956"/>
    <w:rsid w:val="007D4FF2"/>
    <w:rsid w:val="007D5033"/>
    <w:rsid w:val="007D512C"/>
    <w:rsid w:val="007D526F"/>
    <w:rsid w:val="007D5857"/>
    <w:rsid w:val="007D5CFA"/>
    <w:rsid w:val="007D6310"/>
    <w:rsid w:val="007D673F"/>
    <w:rsid w:val="007D6798"/>
    <w:rsid w:val="007D68F4"/>
    <w:rsid w:val="007D6906"/>
    <w:rsid w:val="007D6A1F"/>
    <w:rsid w:val="007D6BB7"/>
    <w:rsid w:val="007D6CE5"/>
    <w:rsid w:val="007D6E8A"/>
    <w:rsid w:val="007D6EF0"/>
    <w:rsid w:val="007D7042"/>
    <w:rsid w:val="007D7059"/>
    <w:rsid w:val="007D73C2"/>
    <w:rsid w:val="007D7522"/>
    <w:rsid w:val="007D76AE"/>
    <w:rsid w:val="007D76BA"/>
    <w:rsid w:val="007D7CCB"/>
    <w:rsid w:val="007E0162"/>
    <w:rsid w:val="007E05CC"/>
    <w:rsid w:val="007E08F5"/>
    <w:rsid w:val="007E0986"/>
    <w:rsid w:val="007E0C8C"/>
    <w:rsid w:val="007E0E84"/>
    <w:rsid w:val="007E0F1B"/>
    <w:rsid w:val="007E1479"/>
    <w:rsid w:val="007E16A6"/>
    <w:rsid w:val="007E1A55"/>
    <w:rsid w:val="007E1CB1"/>
    <w:rsid w:val="007E1EBF"/>
    <w:rsid w:val="007E1FA7"/>
    <w:rsid w:val="007E201B"/>
    <w:rsid w:val="007E2146"/>
    <w:rsid w:val="007E2AA1"/>
    <w:rsid w:val="007E2B64"/>
    <w:rsid w:val="007E2B9D"/>
    <w:rsid w:val="007E3182"/>
    <w:rsid w:val="007E36F8"/>
    <w:rsid w:val="007E3828"/>
    <w:rsid w:val="007E42F2"/>
    <w:rsid w:val="007E4592"/>
    <w:rsid w:val="007E4653"/>
    <w:rsid w:val="007E46F8"/>
    <w:rsid w:val="007E48CD"/>
    <w:rsid w:val="007E48E4"/>
    <w:rsid w:val="007E4D82"/>
    <w:rsid w:val="007E531F"/>
    <w:rsid w:val="007E5634"/>
    <w:rsid w:val="007E5D16"/>
    <w:rsid w:val="007E5FFD"/>
    <w:rsid w:val="007E6239"/>
    <w:rsid w:val="007E6735"/>
    <w:rsid w:val="007E67F4"/>
    <w:rsid w:val="007E6DAE"/>
    <w:rsid w:val="007E713A"/>
    <w:rsid w:val="007E732E"/>
    <w:rsid w:val="007E741E"/>
    <w:rsid w:val="007E784F"/>
    <w:rsid w:val="007E79CD"/>
    <w:rsid w:val="007E7B2B"/>
    <w:rsid w:val="007E7DF2"/>
    <w:rsid w:val="007E7E6F"/>
    <w:rsid w:val="007F05E0"/>
    <w:rsid w:val="007F0B77"/>
    <w:rsid w:val="007F0B82"/>
    <w:rsid w:val="007F0DD3"/>
    <w:rsid w:val="007F1083"/>
    <w:rsid w:val="007F18C0"/>
    <w:rsid w:val="007F21AA"/>
    <w:rsid w:val="007F2286"/>
    <w:rsid w:val="007F2477"/>
    <w:rsid w:val="007F29B5"/>
    <w:rsid w:val="007F2DBB"/>
    <w:rsid w:val="007F2ED4"/>
    <w:rsid w:val="007F2F69"/>
    <w:rsid w:val="007F3507"/>
    <w:rsid w:val="007F3960"/>
    <w:rsid w:val="007F3F4E"/>
    <w:rsid w:val="007F3FB0"/>
    <w:rsid w:val="007F43A9"/>
    <w:rsid w:val="007F4FEA"/>
    <w:rsid w:val="007F54CD"/>
    <w:rsid w:val="007F55D1"/>
    <w:rsid w:val="007F5605"/>
    <w:rsid w:val="007F5608"/>
    <w:rsid w:val="007F5874"/>
    <w:rsid w:val="007F5D4A"/>
    <w:rsid w:val="007F6020"/>
    <w:rsid w:val="007F60F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79D"/>
    <w:rsid w:val="00800994"/>
    <w:rsid w:val="00800D5F"/>
    <w:rsid w:val="00800DDB"/>
    <w:rsid w:val="008010CB"/>
    <w:rsid w:val="008013B8"/>
    <w:rsid w:val="008016BF"/>
    <w:rsid w:val="008016C8"/>
    <w:rsid w:val="0080179D"/>
    <w:rsid w:val="00801838"/>
    <w:rsid w:val="008018DC"/>
    <w:rsid w:val="00802410"/>
    <w:rsid w:val="0080270F"/>
    <w:rsid w:val="00802FDA"/>
    <w:rsid w:val="00803146"/>
    <w:rsid w:val="00803160"/>
    <w:rsid w:val="008035A8"/>
    <w:rsid w:val="008036F8"/>
    <w:rsid w:val="00803905"/>
    <w:rsid w:val="0080397E"/>
    <w:rsid w:val="00803B79"/>
    <w:rsid w:val="00803E2E"/>
    <w:rsid w:val="00803FD6"/>
    <w:rsid w:val="00804116"/>
    <w:rsid w:val="008041E1"/>
    <w:rsid w:val="008046AA"/>
    <w:rsid w:val="00804867"/>
    <w:rsid w:val="00804B2F"/>
    <w:rsid w:val="00804B56"/>
    <w:rsid w:val="00804DDA"/>
    <w:rsid w:val="008050E9"/>
    <w:rsid w:val="0080521C"/>
    <w:rsid w:val="008053AD"/>
    <w:rsid w:val="00805D11"/>
    <w:rsid w:val="00806086"/>
    <w:rsid w:val="0080641F"/>
    <w:rsid w:val="0080656E"/>
    <w:rsid w:val="008065D0"/>
    <w:rsid w:val="0080660A"/>
    <w:rsid w:val="00806619"/>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A32"/>
    <w:rsid w:val="00810DE9"/>
    <w:rsid w:val="00810E41"/>
    <w:rsid w:val="00810EAE"/>
    <w:rsid w:val="00811036"/>
    <w:rsid w:val="00812027"/>
    <w:rsid w:val="008123D5"/>
    <w:rsid w:val="008124FC"/>
    <w:rsid w:val="008124FE"/>
    <w:rsid w:val="008127B0"/>
    <w:rsid w:val="0081285D"/>
    <w:rsid w:val="00812FE3"/>
    <w:rsid w:val="0081362C"/>
    <w:rsid w:val="00813CE0"/>
    <w:rsid w:val="00814025"/>
    <w:rsid w:val="00814072"/>
    <w:rsid w:val="008142CD"/>
    <w:rsid w:val="0081433F"/>
    <w:rsid w:val="00814500"/>
    <w:rsid w:val="00814B38"/>
    <w:rsid w:val="00814B65"/>
    <w:rsid w:val="00814BD6"/>
    <w:rsid w:val="00814CA7"/>
    <w:rsid w:val="00814D2B"/>
    <w:rsid w:val="00815138"/>
    <w:rsid w:val="0081529F"/>
    <w:rsid w:val="008153F0"/>
    <w:rsid w:val="008154B6"/>
    <w:rsid w:val="0081555D"/>
    <w:rsid w:val="008155E8"/>
    <w:rsid w:val="00815706"/>
    <w:rsid w:val="00815ABA"/>
    <w:rsid w:val="00815D64"/>
    <w:rsid w:val="0081606D"/>
    <w:rsid w:val="00816292"/>
    <w:rsid w:val="00816A54"/>
    <w:rsid w:val="00816D94"/>
    <w:rsid w:val="00816D9C"/>
    <w:rsid w:val="00817151"/>
    <w:rsid w:val="0081787C"/>
    <w:rsid w:val="00817B8F"/>
    <w:rsid w:val="00817C96"/>
    <w:rsid w:val="00817CB0"/>
    <w:rsid w:val="00817D2A"/>
    <w:rsid w:val="00817E33"/>
    <w:rsid w:val="00817F27"/>
    <w:rsid w:val="00820A89"/>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4A89"/>
    <w:rsid w:val="008251EC"/>
    <w:rsid w:val="00825511"/>
    <w:rsid w:val="00825693"/>
    <w:rsid w:val="00825EEF"/>
    <w:rsid w:val="00826030"/>
    <w:rsid w:val="00826204"/>
    <w:rsid w:val="008263E0"/>
    <w:rsid w:val="008265E6"/>
    <w:rsid w:val="00826D90"/>
    <w:rsid w:val="00827015"/>
    <w:rsid w:val="00827109"/>
    <w:rsid w:val="008272E9"/>
    <w:rsid w:val="00827A41"/>
    <w:rsid w:val="00827AF3"/>
    <w:rsid w:val="0083119E"/>
    <w:rsid w:val="0083138C"/>
    <w:rsid w:val="00831613"/>
    <w:rsid w:val="0083179C"/>
    <w:rsid w:val="00832142"/>
    <w:rsid w:val="00832C18"/>
    <w:rsid w:val="00832CA7"/>
    <w:rsid w:val="00832CAF"/>
    <w:rsid w:val="0083311A"/>
    <w:rsid w:val="008331BB"/>
    <w:rsid w:val="008333BB"/>
    <w:rsid w:val="008334FF"/>
    <w:rsid w:val="0083417A"/>
    <w:rsid w:val="00834512"/>
    <w:rsid w:val="008349E7"/>
    <w:rsid w:val="0083502E"/>
    <w:rsid w:val="008350E9"/>
    <w:rsid w:val="00835B82"/>
    <w:rsid w:val="00836133"/>
    <w:rsid w:val="0083657B"/>
    <w:rsid w:val="00836B5B"/>
    <w:rsid w:val="0083768C"/>
    <w:rsid w:val="008378BA"/>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4E8"/>
    <w:rsid w:val="0084296C"/>
    <w:rsid w:val="00842B49"/>
    <w:rsid w:val="00842DB7"/>
    <w:rsid w:val="008431F3"/>
    <w:rsid w:val="0084387F"/>
    <w:rsid w:val="00843AFD"/>
    <w:rsid w:val="00843B2C"/>
    <w:rsid w:val="008440E0"/>
    <w:rsid w:val="008444E3"/>
    <w:rsid w:val="008444F8"/>
    <w:rsid w:val="008445D2"/>
    <w:rsid w:val="00844750"/>
    <w:rsid w:val="00844864"/>
    <w:rsid w:val="00844E9E"/>
    <w:rsid w:val="00845A92"/>
    <w:rsid w:val="00845F51"/>
    <w:rsid w:val="00846106"/>
    <w:rsid w:val="00846273"/>
    <w:rsid w:val="00846467"/>
    <w:rsid w:val="00846661"/>
    <w:rsid w:val="00846874"/>
    <w:rsid w:val="00846AC4"/>
    <w:rsid w:val="00846C77"/>
    <w:rsid w:val="00846E99"/>
    <w:rsid w:val="008470A4"/>
    <w:rsid w:val="008471C8"/>
    <w:rsid w:val="00847964"/>
    <w:rsid w:val="00847991"/>
    <w:rsid w:val="00847C4E"/>
    <w:rsid w:val="00847F69"/>
    <w:rsid w:val="00850AE8"/>
    <w:rsid w:val="00850B13"/>
    <w:rsid w:val="008513DC"/>
    <w:rsid w:val="0085151C"/>
    <w:rsid w:val="00851B22"/>
    <w:rsid w:val="00852338"/>
    <w:rsid w:val="008523A3"/>
    <w:rsid w:val="00852AA6"/>
    <w:rsid w:val="00852DAA"/>
    <w:rsid w:val="00853C45"/>
    <w:rsid w:val="00853CAA"/>
    <w:rsid w:val="00854090"/>
    <w:rsid w:val="008540C8"/>
    <w:rsid w:val="00854241"/>
    <w:rsid w:val="00854983"/>
    <w:rsid w:val="00854A0C"/>
    <w:rsid w:val="00854A91"/>
    <w:rsid w:val="00854E0E"/>
    <w:rsid w:val="00854E89"/>
    <w:rsid w:val="00854E9C"/>
    <w:rsid w:val="00855CA7"/>
    <w:rsid w:val="00856301"/>
    <w:rsid w:val="00856696"/>
    <w:rsid w:val="00856795"/>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2E59"/>
    <w:rsid w:val="00863096"/>
    <w:rsid w:val="00863479"/>
    <w:rsid w:val="00863AA0"/>
    <w:rsid w:val="00864A9F"/>
    <w:rsid w:val="00864C02"/>
    <w:rsid w:val="00864CE0"/>
    <w:rsid w:val="00864DF8"/>
    <w:rsid w:val="00864F2D"/>
    <w:rsid w:val="008650AB"/>
    <w:rsid w:val="00865696"/>
    <w:rsid w:val="00865D02"/>
    <w:rsid w:val="00865D4C"/>
    <w:rsid w:val="00865DE1"/>
    <w:rsid w:val="00866BFD"/>
    <w:rsid w:val="00866C3F"/>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42B"/>
    <w:rsid w:val="00871D14"/>
    <w:rsid w:val="00871E1F"/>
    <w:rsid w:val="008722B0"/>
    <w:rsid w:val="0087250F"/>
    <w:rsid w:val="00872C7C"/>
    <w:rsid w:val="00872D63"/>
    <w:rsid w:val="00872F39"/>
    <w:rsid w:val="00873463"/>
    <w:rsid w:val="008734E7"/>
    <w:rsid w:val="00873607"/>
    <w:rsid w:val="008739AE"/>
    <w:rsid w:val="00873BF0"/>
    <w:rsid w:val="00873C85"/>
    <w:rsid w:val="008742CE"/>
    <w:rsid w:val="00874604"/>
    <w:rsid w:val="00874C6F"/>
    <w:rsid w:val="00874E33"/>
    <w:rsid w:val="00874FAC"/>
    <w:rsid w:val="0087504C"/>
    <w:rsid w:val="00875755"/>
    <w:rsid w:val="00875905"/>
    <w:rsid w:val="00875F79"/>
    <w:rsid w:val="00875FBD"/>
    <w:rsid w:val="0087610E"/>
    <w:rsid w:val="00876AC7"/>
    <w:rsid w:val="0087724C"/>
    <w:rsid w:val="0087763F"/>
    <w:rsid w:val="00877640"/>
    <w:rsid w:val="00877838"/>
    <w:rsid w:val="00877C45"/>
    <w:rsid w:val="00877C57"/>
    <w:rsid w:val="00877DB4"/>
    <w:rsid w:val="00877FA3"/>
    <w:rsid w:val="008804C9"/>
    <w:rsid w:val="00880D84"/>
    <w:rsid w:val="00880E95"/>
    <w:rsid w:val="008810DF"/>
    <w:rsid w:val="008810FA"/>
    <w:rsid w:val="00881842"/>
    <w:rsid w:val="008819A5"/>
    <w:rsid w:val="00881F28"/>
    <w:rsid w:val="008829DC"/>
    <w:rsid w:val="00882BB1"/>
    <w:rsid w:val="00882C9C"/>
    <w:rsid w:val="00882E57"/>
    <w:rsid w:val="00883004"/>
    <w:rsid w:val="008836CA"/>
    <w:rsid w:val="008839B1"/>
    <w:rsid w:val="00883ADF"/>
    <w:rsid w:val="00883ED6"/>
    <w:rsid w:val="00884255"/>
    <w:rsid w:val="0088425B"/>
    <w:rsid w:val="00884264"/>
    <w:rsid w:val="00884AD8"/>
    <w:rsid w:val="00884CDF"/>
    <w:rsid w:val="00885574"/>
    <w:rsid w:val="0088579F"/>
    <w:rsid w:val="00885D5D"/>
    <w:rsid w:val="00885D62"/>
    <w:rsid w:val="00885EC9"/>
    <w:rsid w:val="00885F46"/>
    <w:rsid w:val="00885F7A"/>
    <w:rsid w:val="00886223"/>
    <w:rsid w:val="0088651F"/>
    <w:rsid w:val="008867B3"/>
    <w:rsid w:val="0088697F"/>
    <w:rsid w:val="00887472"/>
    <w:rsid w:val="008876DF"/>
    <w:rsid w:val="00887771"/>
    <w:rsid w:val="00887BB5"/>
    <w:rsid w:val="00887FEF"/>
    <w:rsid w:val="008907B2"/>
    <w:rsid w:val="00890BCD"/>
    <w:rsid w:val="00890CC6"/>
    <w:rsid w:val="00890E0D"/>
    <w:rsid w:val="00890F04"/>
    <w:rsid w:val="00890FBE"/>
    <w:rsid w:val="00891955"/>
    <w:rsid w:val="00891F63"/>
    <w:rsid w:val="00892253"/>
    <w:rsid w:val="008922DF"/>
    <w:rsid w:val="00893024"/>
    <w:rsid w:val="0089302F"/>
    <w:rsid w:val="00893B3B"/>
    <w:rsid w:val="00893BA4"/>
    <w:rsid w:val="00893DB3"/>
    <w:rsid w:val="0089453F"/>
    <w:rsid w:val="008946A4"/>
    <w:rsid w:val="00894790"/>
    <w:rsid w:val="008948A0"/>
    <w:rsid w:val="00894A2E"/>
    <w:rsid w:val="00894ADC"/>
    <w:rsid w:val="00894F78"/>
    <w:rsid w:val="00895243"/>
    <w:rsid w:val="00895A0C"/>
    <w:rsid w:val="00895AA1"/>
    <w:rsid w:val="00895E55"/>
    <w:rsid w:val="008961A5"/>
    <w:rsid w:val="008965CC"/>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9EA"/>
    <w:rsid w:val="008A1C65"/>
    <w:rsid w:val="008A1EA1"/>
    <w:rsid w:val="008A1FBC"/>
    <w:rsid w:val="008A1FEC"/>
    <w:rsid w:val="008A24BD"/>
    <w:rsid w:val="008A288A"/>
    <w:rsid w:val="008A294D"/>
    <w:rsid w:val="008A2AAE"/>
    <w:rsid w:val="008A2F26"/>
    <w:rsid w:val="008A36ED"/>
    <w:rsid w:val="008A3898"/>
    <w:rsid w:val="008A39E2"/>
    <w:rsid w:val="008A3A0C"/>
    <w:rsid w:val="008A3A6C"/>
    <w:rsid w:val="008A42D8"/>
    <w:rsid w:val="008A457F"/>
    <w:rsid w:val="008A47BC"/>
    <w:rsid w:val="008A4DAC"/>
    <w:rsid w:val="008A4E04"/>
    <w:rsid w:val="008A53C3"/>
    <w:rsid w:val="008A56C1"/>
    <w:rsid w:val="008A5846"/>
    <w:rsid w:val="008A59DB"/>
    <w:rsid w:val="008A59E9"/>
    <w:rsid w:val="008A5AB1"/>
    <w:rsid w:val="008A5FE7"/>
    <w:rsid w:val="008A62D3"/>
    <w:rsid w:val="008A631F"/>
    <w:rsid w:val="008A668F"/>
    <w:rsid w:val="008A6F9D"/>
    <w:rsid w:val="008A72A4"/>
    <w:rsid w:val="008A758D"/>
    <w:rsid w:val="008A75C5"/>
    <w:rsid w:val="008A75FC"/>
    <w:rsid w:val="008A7669"/>
    <w:rsid w:val="008A76CB"/>
    <w:rsid w:val="008A7819"/>
    <w:rsid w:val="008A7B15"/>
    <w:rsid w:val="008A7CC2"/>
    <w:rsid w:val="008B01A2"/>
    <w:rsid w:val="008B07C2"/>
    <w:rsid w:val="008B097E"/>
    <w:rsid w:val="008B0CD0"/>
    <w:rsid w:val="008B0F9B"/>
    <w:rsid w:val="008B130E"/>
    <w:rsid w:val="008B1651"/>
    <w:rsid w:val="008B175A"/>
    <w:rsid w:val="008B182D"/>
    <w:rsid w:val="008B18CE"/>
    <w:rsid w:val="008B1AC3"/>
    <w:rsid w:val="008B2052"/>
    <w:rsid w:val="008B21F5"/>
    <w:rsid w:val="008B269F"/>
    <w:rsid w:val="008B2A2E"/>
    <w:rsid w:val="008B2AB2"/>
    <w:rsid w:val="008B2D1D"/>
    <w:rsid w:val="008B2DEB"/>
    <w:rsid w:val="008B2E20"/>
    <w:rsid w:val="008B30EB"/>
    <w:rsid w:val="008B3779"/>
    <w:rsid w:val="008B382B"/>
    <w:rsid w:val="008B3E81"/>
    <w:rsid w:val="008B41EF"/>
    <w:rsid w:val="008B4230"/>
    <w:rsid w:val="008B447F"/>
    <w:rsid w:val="008B44A9"/>
    <w:rsid w:val="008B4A4A"/>
    <w:rsid w:val="008B4B0D"/>
    <w:rsid w:val="008B4B33"/>
    <w:rsid w:val="008B4E55"/>
    <w:rsid w:val="008B5448"/>
    <w:rsid w:val="008B5577"/>
    <w:rsid w:val="008B60ED"/>
    <w:rsid w:val="008B636D"/>
    <w:rsid w:val="008B6461"/>
    <w:rsid w:val="008B66CB"/>
    <w:rsid w:val="008B66DE"/>
    <w:rsid w:val="008B6D30"/>
    <w:rsid w:val="008B6E34"/>
    <w:rsid w:val="008B6E5C"/>
    <w:rsid w:val="008B6EEA"/>
    <w:rsid w:val="008B7042"/>
    <w:rsid w:val="008B728B"/>
    <w:rsid w:val="008B7326"/>
    <w:rsid w:val="008B7B3C"/>
    <w:rsid w:val="008B7E49"/>
    <w:rsid w:val="008C0E75"/>
    <w:rsid w:val="008C1161"/>
    <w:rsid w:val="008C18DB"/>
    <w:rsid w:val="008C1D2E"/>
    <w:rsid w:val="008C1D84"/>
    <w:rsid w:val="008C2135"/>
    <w:rsid w:val="008C2236"/>
    <w:rsid w:val="008C2426"/>
    <w:rsid w:val="008C2453"/>
    <w:rsid w:val="008C26B4"/>
    <w:rsid w:val="008C2767"/>
    <w:rsid w:val="008C2A46"/>
    <w:rsid w:val="008C2BC8"/>
    <w:rsid w:val="008C3A73"/>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12A"/>
    <w:rsid w:val="008D0459"/>
    <w:rsid w:val="008D05D2"/>
    <w:rsid w:val="008D069D"/>
    <w:rsid w:val="008D0A7A"/>
    <w:rsid w:val="008D0B27"/>
    <w:rsid w:val="008D133B"/>
    <w:rsid w:val="008D13DC"/>
    <w:rsid w:val="008D149D"/>
    <w:rsid w:val="008D1642"/>
    <w:rsid w:val="008D1988"/>
    <w:rsid w:val="008D1A77"/>
    <w:rsid w:val="008D1B7F"/>
    <w:rsid w:val="008D1E23"/>
    <w:rsid w:val="008D2209"/>
    <w:rsid w:val="008D2461"/>
    <w:rsid w:val="008D2515"/>
    <w:rsid w:val="008D2576"/>
    <w:rsid w:val="008D2CFC"/>
    <w:rsid w:val="008D2DA4"/>
    <w:rsid w:val="008D3208"/>
    <w:rsid w:val="008D399A"/>
    <w:rsid w:val="008D3A99"/>
    <w:rsid w:val="008D4318"/>
    <w:rsid w:val="008D453F"/>
    <w:rsid w:val="008D508F"/>
    <w:rsid w:val="008D538D"/>
    <w:rsid w:val="008D5879"/>
    <w:rsid w:val="008D592F"/>
    <w:rsid w:val="008D5FCD"/>
    <w:rsid w:val="008D5FF1"/>
    <w:rsid w:val="008D6255"/>
    <w:rsid w:val="008D65B3"/>
    <w:rsid w:val="008D6733"/>
    <w:rsid w:val="008D6BDB"/>
    <w:rsid w:val="008D6E70"/>
    <w:rsid w:val="008D6F90"/>
    <w:rsid w:val="008D7554"/>
    <w:rsid w:val="008D7615"/>
    <w:rsid w:val="008D76A0"/>
    <w:rsid w:val="008D7787"/>
    <w:rsid w:val="008D78FC"/>
    <w:rsid w:val="008D7DEB"/>
    <w:rsid w:val="008E005E"/>
    <w:rsid w:val="008E04B5"/>
    <w:rsid w:val="008E074C"/>
    <w:rsid w:val="008E0CDD"/>
    <w:rsid w:val="008E0E2E"/>
    <w:rsid w:val="008E0E89"/>
    <w:rsid w:val="008E0E8C"/>
    <w:rsid w:val="008E1217"/>
    <w:rsid w:val="008E15AC"/>
    <w:rsid w:val="008E1A27"/>
    <w:rsid w:val="008E1B6C"/>
    <w:rsid w:val="008E1FDB"/>
    <w:rsid w:val="008E1FDF"/>
    <w:rsid w:val="008E2051"/>
    <w:rsid w:val="008E20B8"/>
    <w:rsid w:val="008E20D6"/>
    <w:rsid w:val="008E20EC"/>
    <w:rsid w:val="008E225F"/>
    <w:rsid w:val="008E2562"/>
    <w:rsid w:val="008E2B47"/>
    <w:rsid w:val="008E2C9C"/>
    <w:rsid w:val="008E2E43"/>
    <w:rsid w:val="008E2E8C"/>
    <w:rsid w:val="008E2FA7"/>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4CD"/>
    <w:rsid w:val="008E7684"/>
    <w:rsid w:val="008E76C6"/>
    <w:rsid w:val="008E7B11"/>
    <w:rsid w:val="008E7DB3"/>
    <w:rsid w:val="008E7F9D"/>
    <w:rsid w:val="008F0090"/>
    <w:rsid w:val="008F01AB"/>
    <w:rsid w:val="008F044C"/>
    <w:rsid w:val="008F0460"/>
    <w:rsid w:val="008F06E5"/>
    <w:rsid w:val="008F0BA6"/>
    <w:rsid w:val="008F0FC8"/>
    <w:rsid w:val="008F10AC"/>
    <w:rsid w:val="008F10C6"/>
    <w:rsid w:val="008F1CF8"/>
    <w:rsid w:val="008F211C"/>
    <w:rsid w:val="008F2201"/>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9C"/>
    <w:rsid w:val="008F6FBB"/>
    <w:rsid w:val="008F7365"/>
    <w:rsid w:val="008F7574"/>
    <w:rsid w:val="008F76A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126"/>
    <w:rsid w:val="00905A06"/>
    <w:rsid w:val="00905B6F"/>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AE3"/>
    <w:rsid w:val="00911E1A"/>
    <w:rsid w:val="00911F63"/>
    <w:rsid w:val="0091225D"/>
    <w:rsid w:val="009123B9"/>
    <w:rsid w:val="00912508"/>
    <w:rsid w:val="00912A63"/>
    <w:rsid w:val="00912A96"/>
    <w:rsid w:val="00912F6D"/>
    <w:rsid w:val="0091398C"/>
    <w:rsid w:val="00913AF7"/>
    <w:rsid w:val="00913B67"/>
    <w:rsid w:val="00913F4C"/>
    <w:rsid w:val="0091404B"/>
    <w:rsid w:val="009140A5"/>
    <w:rsid w:val="009140DD"/>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17FBA"/>
    <w:rsid w:val="0092078E"/>
    <w:rsid w:val="00920848"/>
    <w:rsid w:val="00920B0E"/>
    <w:rsid w:val="009216BF"/>
    <w:rsid w:val="009218D2"/>
    <w:rsid w:val="00921A44"/>
    <w:rsid w:val="00921A74"/>
    <w:rsid w:val="00921C9F"/>
    <w:rsid w:val="00921EC5"/>
    <w:rsid w:val="00921ED5"/>
    <w:rsid w:val="00921FA1"/>
    <w:rsid w:val="00921FC2"/>
    <w:rsid w:val="009225B6"/>
    <w:rsid w:val="009226EF"/>
    <w:rsid w:val="00922815"/>
    <w:rsid w:val="00923151"/>
    <w:rsid w:val="009235CF"/>
    <w:rsid w:val="00923821"/>
    <w:rsid w:val="00924108"/>
    <w:rsid w:val="00924487"/>
    <w:rsid w:val="009247AB"/>
    <w:rsid w:val="00924FC0"/>
    <w:rsid w:val="0092507E"/>
    <w:rsid w:val="009250C2"/>
    <w:rsid w:val="009250C8"/>
    <w:rsid w:val="00925267"/>
    <w:rsid w:val="00925570"/>
    <w:rsid w:val="00925579"/>
    <w:rsid w:val="00925836"/>
    <w:rsid w:val="009259E2"/>
    <w:rsid w:val="00925ABC"/>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27CE2"/>
    <w:rsid w:val="0093011E"/>
    <w:rsid w:val="009301E4"/>
    <w:rsid w:val="00930305"/>
    <w:rsid w:val="0093063D"/>
    <w:rsid w:val="00930A2E"/>
    <w:rsid w:val="0093135E"/>
    <w:rsid w:val="00931DF8"/>
    <w:rsid w:val="00932109"/>
    <w:rsid w:val="009322AC"/>
    <w:rsid w:val="009324B1"/>
    <w:rsid w:val="009326B1"/>
    <w:rsid w:val="009327B5"/>
    <w:rsid w:val="00932A20"/>
    <w:rsid w:val="00932B18"/>
    <w:rsid w:val="00932F7F"/>
    <w:rsid w:val="00933BD1"/>
    <w:rsid w:val="00933D61"/>
    <w:rsid w:val="00933DE4"/>
    <w:rsid w:val="00934044"/>
    <w:rsid w:val="00934547"/>
    <w:rsid w:val="00934747"/>
    <w:rsid w:val="0093485A"/>
    <w:rsid w:val="00934FFD"/>
    <w:rsid w:val="009350AA"/>
    <w:rsid w:val="00935168"/>
    <w:rsid w:val="009359C0"/>
    <w:rsid w:val="00935B52"/>
    <w:rsid w:val="00935F70"/>
    <w:rsid w:val="009360F7"/>
    <w:rsid w:val="0093615C"/>
    <w:rsid w:val="0093634D"/>
    <w:rsid w:val="0093672B"/>
    <w:rsid w:val="00936B8C"/>
    <w:rsid w:val="00936D07"/>
    <w:rsid w:val="009370A6"/>
    <w:rsid w:val="009373C5"/>
    <w:rsid w:val="00937828"/>
    <w:rsid w:val="00937AC7"/>
    <w:rsid w:val="00937D15"/>
    <w:rsid w:val="009402CB"/>
    <w:rsid w:val="00940A5D"/>
    <w:rsid w:val="00940BCB"/>
    <w:rsid w:val="00940D76"/>
    <w:rsid w:val="00940D85"/>
    <w:rsid w:val="00940DF4"/>
    <w:rsid w:val="00940FB5"/>
    <w:rsid w:val="00941259"/>
    <w:rsid w:val="0094148B"/>
    <w:rsid w:val="00941A1C"/>
    <w:rsid w:val="00941B97"/>
    <w:rsid w:val="00941E13"/>
    <w:rsid w:val="009421B3"/>
    <w:rsid w:val="00942272"/>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B2"/>
    <w:rsid w:val="009478ED"/>
    <w:rsid w:val="009479E5"/>
    <w:rsid w:val="00950781"/>
    <w:rsid w:val="009509D7"/>
    <w:rsid w:val="00950ACF"/>
    <w:rsid w:val="00950B09"/>
    <w:rsid w:val="00950DD1"/>
    <w:rsid w:val="00950FFB"/>
    <w:rsid w:val="0095130F"/>
    <w:rsid w:val="00951417"/>
    <w:rsid w:val="0095154C"/>
    <w:rsid w:val="0095183E"/>
    <w:rsid w:val="00951995"/>
    <w:rsid w:val="00951AB5"/>
    <w:rsid w:val="00951C7E"/>
    <w:rsid w:val="00951CF6"/>
    <w:rsid w:val="00952ACA"/>
    <w:rsid w:val="00952C40"/>
    <w:rsid w:val="00952C57"/>
    <w:rsid w:val="00952C70"/>
    <w:rsid w:val="00952F41"/>
    <w:rsid w:val="00952FA0"/>
    <w:rsid w:val="00953424"/>
    <w:rsid w:val="009537A7"/>
    <w:rsid w:val="00953B1F"/>
    <w:rsid w:val="00953C21"/>
    <w:rsid w:val="009544FE"/>
    <w:rsid w:val="009548C3"/>
    <w:rsid w:val="00954BFC"/>
    <w:rsid w:val="00954E67"/>
    <w:rsid w:val="0095506D"/>
    <w:rsid w:val="009551B9"/>
    <w:rsid w:val="009552F5"/>
    <w:rsid w:val="009555E2"/>
    <w:rsid w:val="009557DF"/>
    <w:rsid w:val="00955A2E"/>
    <w:rsid w:val="00955B1F"/>
    <w:rsid w:val="00955C57"/>
    <w:rsid w:val="00955D2B"/>
    <w:rsid w:val="00955D6A"/>
    <w:rsid w:val="00955E50"/>
    <w:rsid w:val="00955E8D"/>
    <w:rsid w:val="00956101"/>
    <w:rsid w:val="0095675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BB5"/>
    <w:rsid w:val="00967D2D"/>
    <w:rsid w:val="00970F7A"/>
    <w:rsid w:val="00970FE3"/>
    <w:rsid w:val="00971C7D"/>
    <w:rsid w:val="00971EC5"/>
    <w:rsid w:val="00971F6B"/>
    <w:rsid w:val="00971FCC"/>
    <w:rsid w:val="00972562"/>
    <w:rsid w:val="009727EC"/>
    <w:rsid w:val="0097281F"/>
    <w:rsid w:val="0097285C"/>
    <w:rsid w:val="0097298A"/>
    <w:rsid w:val="00972BB7"/>
    <w:rsid w:val="00972C06"/>
    <w:rsid w:val="00972F4C"/>
    <w:rsid w:val="00972F61"/>
    <w:rsid w:val="00972FEB"/>
    <w:rsid w:val="00973257"/>
    <w:rsid w:val="00973388"/>
    <w:rsid w:val="00973592"/>
    <w:rsid w:val="0097383E"/>
    <w:rsid w:val="009738E5"/>
    <w:rsid w:val="009739A2"/>
    <w:rsid w:val="009739BC"/>
    <w:rsid w:val="00973C03"/>
    <w:rsid w:val="00973F29"/>
    <w:rsid w:val="00974182"/>
    <w:rsid w:val="009744FF"/>
    <w:rsid w:val="00974520"/>
    <w:rsid w:val="00974B9F"/>
    <w:rsid w:val="00974EBD"/>
    <w:rsid w:val="00974FB0"/>
    <w:rsid w:val="009751BA"/>
    <w:rsid w:val="00975297"/>
    <w:rsid w:val="0097539E"/>
    <w:rsid w:val="00975510"/>
    <w:rsid w:val="0097577E"/>
    <w:rsid w:val="0097584E"/>
    <w:rsid w:val="009765B9"/>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DB9"/>
    <w:rsid w:val="00981E33"/>
    <w:rsid w:val="00981FCE"/>
    <w:rsid w:val="00982314"/>
    <w:rsid w:val="00982768"/>
    <w:rsid w:val="00982773"/>
    <w:rsid w:val="009829BF"/>
    <w:rsid w:val="00982AB4"/>
    <w:rsid w:val="00982E67"/>
    <w:rsid w:val="00982ECA"/>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0DB"/>
    <w:rsid w:val="00986956"/>
    <w:rsid w:val="00986B31"/>
    <w:rsid w:val="009873AF"/>
    <w:rsid w:val="009875A6"/>
    <w:rsid w:val="009876A0"/>
    <w:rsid w:val="009879B5"/>
    <w:rsid w:val="009879F4"/>
    <w:rsid w:val="00987A56"/>
    <w:rsid w:val="00987A75"/>
    <w:rsid w:val="00987E33"/>
    <w:rsid w:val="0099005F"/>
    <w:rsid w:val="00990709"/>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32C"/>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59F"/>
    <w:rsid w:val="009A0C1F"/>
    <w:rsid w:val="009A12A5"/>
    <w:rsid w:val="009A1DFF"/>
    <w:rsid w:val="009A1E8A"/>
    <w:rsid w:val="009A2144"/>
    <w:rsid w:val="009A246A"/>
    <w:rsid w:val="009A273A"/>
    <w:rsid w:val="009A30CE"/>
    <w:rsid w:val="009A3183"/>
    <w:rsid w:val="009A32D7"/>
    <w:rsid w:val="009A33CB"/>
    <w:rsid w:val="009A3576"/>
    <w:rsid w:val="009A38A0"/>
    <w:rsid w:val="009A39A5"/>
    <w:rsid w:val="009A3A6D"/>
    <w:rsid w:val="009A3AB5"/>
    <w:rsid w:val="009A3BA5"/>
    <w:rsid w:val="009A3D23"/>
    <w:rsid w:val="009A4AA9"/>
    <w:rsid w:val="009A4EA0"/>
    <w:rsid w:val="009A502D"/>
    <w:rsid w:val="009A516A"/>
    <w:rsid w:val="009A5434"/>
    <w:rsid w:val="009A56A7"/>
    <w:rsid w:val="009A56D2"/>
    <w:rsid w:val="009A577A"/>
    <w:rsid w:val="009A5EF9"/>
    <w:rsid w:val="009A5FAC"/>
    <w:rsid w:val="009A6127"/>
    <w:rsid w:val="009A62DC"/>
    <w:rsid w:val="009A637B"/>
    <w:rsid w:val="009A6456"/>
    <w:rsid w:val="009A6C74"/>
    <w:rsid w:val="009A6EE7"/>
    <w:rsid w:val="009A7154"/>
    <w:rsid w:val="009A78D1"/>
    <w:rsid w:val="009A7DFB"/>
    <w:rsid w:val="009A7E08"/>
    <w:rsid w:val="009B003C"/>
    <w:rsid w:val="009B0AD2"/>
    <w:rsid w:val="009B0F47"/>
    <w:rsid w:val="009B1823"/>
    <w:rsid w:val="009B198C"/>
    <w:rsid w:val="009B2E47"/>
    <w:rsid w:val="009B3685"/>
    <w:rsid w:val="009B3745"/>
    <w:rsid w:val="009B3C79"/>
    <w:rsid w:val="009B3D2F"/>
    <w:rsid w:val="009B3D47"/>
    <w:rsid w:val="009B4250"/>
    <w:rsid w:val="009B4703"/>
    <w:rsid w:val="009B4821"/>
    <w:rsid w:val="009B4C1C"/>
    <w:rsid w:val="009B4C24"/>
    <w:rsid w:val="009B5821"/>
    <w:rsid w:val="009B5A39"/>
    <w:rsid w:val="009B5E22"/>
    <w:rsid w:val="009B70E9"/>
    <w:rsid w:val="009B719B"/>
    <w:rsid w:val="009B7564"/>
    <w:rsid w:val="009B7BB7"/>
    <w:rsid w:val="009B7D5C"/>
    <w:rsid w:val="009B7DF5"/>
    <w:rsid w:val="009B7FFA"/>
    <w:rsid w:val="009C00A5"/>
    <w:rsid w:val="009C00EF"/>
    <w:rsid w:val="009C0791"/>
    <w:rsid w:val="009C0BC1"/>
    <w:rsid w:val="009C0DBE"/>
    <w:rsid w:val="009C1035"/>
    <w:rsid w:val="009C19BC"/>
    <w:rsid w:val="009C19D2"/>
    <w:rsid w:val="009C1BF9"/>
    <w:rsid w:val="009C1D2F"/>
    <w:rsid w:val="009C1D4B"/>
    <w:rsid w:val="009C1E0C"/>
    <w:rsid w:val="009C1EAD"/>
    <w:rsid w:val="009C206F"/>
    <w:rsid w:val="009C281C"/>
    <w:rsid w:val="009C2AB0"/>
    <w:rsid w:val="009C2B1C"/>
    <w:rsid w:val="009C358E"/>
    <w:rsid w:val="009C3D17"/>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A59"/>
    <w:rsid w:val="009C7CE4"/>
    <w:rsid w:val="009C7F47"/>
    <w:rsid w:val="009D008A"/>
    <w:rsid w:val="009D0361"/>
    <w:rsid w:val="009D052F"/>
    <w:rsid w:val="009D0720"/>
    <w:rsid w:val="009D0C8D"/>
    <w:rsid w:val="009D11E5"/>
    <w:rsid w:val="009D1342"/>
    <w:rsid w:val="009D15EA"/>
    <w:rsid w:val="009D1ED3"/>
    <w:rsid w:val="009D1F00"/>
    <w:rsid w:val="009D1F69"/>
    <w:rsid w:val="009D2118"/>
    <w:rsid w:val="009D217F"/>
    <w:rsid w:val="009D22EA"/>
    <w:rsid w:val="009D2453"/>
    <w:rsid w:val="009D2CDE"/>
    <w:rsid w:val="009D3480"/>
    <w:rsid w:val="009D394E"/>
    <w:rsid w:val="009D422B"/>
    <w:rsid w:val="009D4303"/>
    <w:rsid w:val="009D454E"/>
    <w:rsid w:val="009D478C"/>
    <w:rsid w:val="009D49A4"/>
    <w:rsid w:val="009D4A8E"/>
    <w:rsid w:val="009D4DA3"/>
    <w:rsid w:val="009D4F83"/>
    <w:rsid w:val="009D5BBF"/>
    <w:rsid w:val="009D610C"/>
    <w:rsid w:val="009D62E7"/>
    <w:rsid w:val="009D6624"/>
    <w:rsid w:val="009D6A0B"/>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AD4"/>
    <w:rsid w:val="009E6FBA"/>
    <w:rsid w:val="009E6FC8"/>
    <w:rsid w:val="009E73D9"/>
    <w:rsid w:val="009E7789"/>
    <w:rsid w:val="009E7E9B"/>
    <w:rsid w:val="009F0258"/>
    <w:rsid w:val="009F02E1"/>
    <w:rsid w:val="009F056D"/>
    <w:rsid w:val="009F07D7"/>
    <w:rsid w:val="009F07FC"/>
    <w:rsid w:val="009F0992"/>
    <w:rsid w:val="009F0CD1"/>
    <w:rsid w:val="009F1129"/>
    <w:rsid w:val="009F187B"/>
    <w:rsid w:val="009F1933"/>
    <w:rsid w:val="009F26C0"/>
    <w:rsid w:val="009F2A94"/>
    <w:rsid w:val="009F2AAF"/>
    <w:rsid w:val="009F2C6B"/>
    <w:rsid w:val="009F2E7E"/>
    <w:rsid w:val="009F3783"/>
    <w:rsid w:val="009F3941"/>
    <w:rsid w:val="009F3A4B"/>
    <w:rsid w:val="009F4196"/>
    <w:rsid w:val="009F41E1"/>
    <w:rsid w:val="009F4375"/>
    <w:rsid w:val="009F45C7"/>
    <w:rsid w:val="009F483A"/>
    <w:rsid w:val="009F4C59"/>
    <w:rsid w:val="009F4F05"/>
    <w:rsid w:val="009F5606"/>
    <w:rsid w:val="009F5902"/>
    <w:rsid w:val="009F5C4D"/>
    <w:rsid w:val="009F5CA4"/>
    <w:rsid w:val="009F6410"/>
    <w:rsid w:val="009F6457"/>
    <w:rsid w:val="009F68B6"/>
    <w:rsid w:val="009F7025"/>
    <w:rsid w:val="009F7169"/>
    <w:rsid w:val="009F7465"/>
    <w:rsid w:val="009F757F"/>
    <w:rsid w:val="009F7883"/>
    <w:rsid w:val="009F7963"/>
    <w:rsid w:val="009F79BE"/>
    <w:rsid w:val="009F7B5C"/>
    <w:rsid w:val="009F7C2E"/>
    <w:rsid w:val="009F7FB0"/>
    <w:rsid w:val="00A0018E"/>
    <w:rsid w:val="00A004F2"/>
    <w:rsid w:val="00A0068A"/>
    <w:rsid w:val="00A00B60"/>
    <w:rsid w:val="00A01006"/>
    <w:rsid w:val="00A02B26"/>
    <w:rsid w:val="00A02BEC"/>
    <w:rsid w:val="00A02C96"/>
    <w:rsid w:val="00A02D52"/>
    <w:rsid w:val="00A02FBC"/>
    <w:rsid w:val="00A0336B"/>
    <w:rsid w:val="00A03A1D"/>
    <w:rsid w:val="00A03BD1"/>
    <w:rsid w:val="00A043B9"/>
    <w:rsid w:val="00A04541"/>
    <w:rsid w:val="00A0461B"/>
    <w:rsid w:val="00A04A92"/>
    <w:rsid w:val="00A04DB3"/>
    <w:rsid w:val="00A04E65"/>
    <w:rsid w:val="00A0559E"/>
    <w:rsid w:val="00A05A1F"/>
    <w:rsid w:val="00A05AA6"/>
    <w:rsid w:val="00A05BD0"/>
    <w:rsid w:val="00A05DFF"/>
    <w:rsid w:val="00A062EA"/>
    <w:rsid w:val="00A06344"/>
    <w:rsid w:val="00A06384"/>
    <w:rsid w:val="00A0648C"/>
    <w:rsid w:val="00A0681A"/>
    <w:rsid w:val="00A068D2"/>
    <w:rsid w:val="00A06ABB"/>
    <w:rsid w:val="00A06F57"/>
    <w:rsid w:val="00A06FF5"/>
    <w:rsid w:val="00A07065"/>
    <w:rsid w:val="00A07594"/>
    <w:rsid w:val="00A07654"/>
    <w:rsid w:val="00A07656"/>
    <w:rsid w:val="00A07B16"/>
    <w:rsid w:val="00A10230"/>
    <w:rsid w:val="00A1057F"/>
    <w:rsid w:val="00A105DB"/>
    <w:rsid w:val="00A10606"/>
    <w:rsid w:val="00A106FE"/>
    <w:rsid w:val="00A107B6"/>
    <w:rsid w:val="00A10AB5"/>
    <w:rsid w:val="00A10B48"/>
    <w:rsid w:val="00A114B5"/>
    <w:rsid w:val="00A115BF"/>
    <w:rsid w:val="00A116D8"/>
    <w:rsid w:val="00A118DD"/>
    <w:rsid w:val="00A1196F"/>
    <w:rsid w:val="00A1197E"/>
    <w:rsid w:val="00A11A89"/>
    <w:rsid w:val="00A11ACA"/>
    <w:rsid w:val="00A11DF9"/>
    <w:rsid w:val="00A11E0F"/>
    <w:rsid w:val="00A12206"/>
    <w:rsid w:val="00A12301"/>
    <w:rsid w:val="00A1285D"/>
    <w:rsid w:val="00A12929"/>
    <w:rsid w:val="00A12A73"/>
    <w:rsid w:val="00A12BEE"/>
    <w:rsid w:val="00A12DC4"/>
    <w:rsid w:val="00A12EE8"/>
    <w:rsid w:val="00A131A4"/>
    <w:rsid w:val="00A131A8"/>
    <w:rsid w:val="00A13299"/>
    <w:rsid w:val="00A13343"/>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900"/>
    <w:rsid w:val="00A20E24"/>
    <w:rsid w:val="00A2104B"/>
    <w:rsid w:val="00A210E9"/>
    <w:rsid w:val="00A217AC"/>
    <w:rsid w:val="00A218AE"/>
    <w:rsid w:val="00A21A9D"/>
    <w:rsid w:val="00A21AAA"/>
    <w:rsid w:val="00A21E51"/>
    <w:rsid w:val="00A2208A"/>
    <w:rsid w:val="00A22132"/>
    <w:rsid w:val="00A22207"/>
    <w:rsid w:val="00A22389"/>
    <w:rsid w:val="00A2260A"/>
    <w:rsid w:val="00A22664"/>
    <w:rsid w:val="00A23118"/>
    <w:rsid w:val="00A2322E"/>
    <w:rsid w:val="00A23243"/>
    <w:rsid w:val="00A23590"/>
    <w:rsid w:val="00A237F4"/>
    <w:rsid w:val="00A23919"/>
    <w:rsid w:val="00A23921"/>
    <w:rsid w:val="00A23E0D"/>
    <w:rsid w:val="00A24002"/>
    <w:rsid w:val="00A2470A"/>
    <w:rsid w:val="00A2481C"/>
    <w:rsid w:val="00A24CCF"/>
    <w:rsid w:val="00A25035"/>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724"/>
    <w:rsid w:val="00A30BAE"/>
    <w:rsid w:val="00A30BE5"/>
    <w:rsid w:val="00A3135B"/>
    <w:rsid w:val="00A313D0"/>
    <w:rsid w:val="00A3141F"/>
    <w:rsid w:val="00A314A9"/>
    <w:rsid w:val="00A31591"/>
    <w:rsid w:val="00A31E88"/>
    <w:rsid w:val="00A321EE"/>
    <w:rsid w:val="00A3226E"/>
    <w:rsid w:val="00A32284"/>
    <w:rsid w:val="00A325C2"/>
    <w:rsid w:val="00A325CC"/>
    <w:rsid w:val="00A327E2"/>
    <w:rsid w:val="00A329BB"/>
    <w:rsid w:val="00A32A44"/>
    <w:rsid w:val="00A32C37"/>
    <w:rsid w:val="00A331A2"/>
    <w:rsid w:val="00A3331F"/>
    <w:rsid w:val="00A3393A"/>
    <w:rsid w:val="00A34685"/>
    <w:rsid w:val="00A346BB"/>
    <w:rsid w:val="00A34AFB"/>
    <w:rsid w:val="00A34BE5"/>
    <w:rsid w:val="00A34DA0"/>
    <w:rsid w:val="00A35A0B"/>
    <w:rsid w:val="00A35BD0"/>
    <w:rsid w:val="00A362CB"/>
    <w:rsid w:val="00A3651A"/>
    <w:rsid w:val="00A3659F"/>
    <w:rsid w:val="00A365F3"/>
    <w:rsid w:val="00A37345"/>
    <w:rsid w:val="00A37413"/>
    <w:rsid w:val="00A3747D"/>
    <w:rsid w:val="00A37A59"/>
    <w:rsid w:val="00A37E05"/>
    <w:rsid w:val="00A40531"/>
    <w:rsid w:val="00A405A3"/>
    <w:rsid w:val="00A40660"/>
    <w:rsid w:val="00A40C1E"/>
    <w:rsid w:val="00A41821"/>
    <w:rsid w:val="00A41C27"/>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51E"/>
    <w:rsid w:val="00A4570E"/>
    <w:rsid w:val="00A4579D"/>
    <w:rsid w:val="00A45A3B"/>
    <w:rsid w:val="00A45C5B"/>
    <w:rsid w:val="00A45EFA"/>
    <w:rsid w:val="00A46DEC"/>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ED6"/>
    <w:rsid w:val="00A52EDB"/>
    <w:rsid w:val="00A532E0"/>
    <w:rsid w:val="00A53533"/>
    <w:rsid w:val="00A53755"/>
    <w:rsid w:val="00A53B55"/>
    <w:rsid w:val="00A541ED"/>
    <w:rsid w:val="00A54974"/>
    <w:rsid w:val="00A54A90"/>
    <w:rsid w:val="00A54B0B"/>
    <w:rsid w:val="00A54D16"/>
    <w:rsid w:val="00A54E6B"/>
    <w:rsid w:val="00A553DF"/>
    <w:rsid w:val="00A556AE"/>
    <w:rsid w:val="00A5579B"/>
    <w:rsid w:val="00A55877"/>
    <w:rsid w:val="00A55BB7"/>
    <w:rsid w:val="00A55E76"/>
    <w:rsid w:val="00A5637C"/>
    <w:rsid w:val="00A5644F"/>
    <w:rsid w:val="00A565DC"/>
    <w:rsid w:val="00A56735"/>
    <w:rsid w:val="00A56A28"/>
    <w:rsid w:val="00A56C2C"/>
    <w:rsid w:val="00A57311"/>
    <w:rsid w:val="00A577E3"/>
    <w:rsid w:val="00A57BD6"/>
    <w:rsid w:val="00A57EC0"/>
    <w:rsid w:val="00A57F96"/>
    <w:rsid w:val="00A602D0"/>
    <w:rsid w:val="00A60386"/>
    <w:rsid w:val="00A6065A"/>
    <w:rsid w:val="00A606AC"/>
    <w:rsid w:val="00A60887"/>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F1E"/>
    <w:rsid w:val="00A64196"/>
    <w:rsid w:val="00A64310"/>
    <w:rsid w:val="00A647A9"/>
    <w:rsid w:val="00A649B4"/>
    <w:rsid w:val="00A64A72"/>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67CB1"/>
    <w:rsid w:val="00A700BA"/>
    <w:rsid w:val="00A705EB"/>
    <w:rsid w:val="00A70A35"/>
    <w:rsid w:val="00A7141F"/>
    <w:rsid w:val="00A71D6B"/>
    <w:rsid w:val="00A71F00"/>
    <w:rsid w:val="00A726A3"/>
    <w:rsid w:val="00A726DE"/>
    <w:rsid w:val="00A729F5"/>
    <w:rsid w:val="00A72EFD"/>
    <w:rsid w:val="00A73110"/>
    <w:rsid w:val="00A73242"/>
    <w:rsid w:val="00A7342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6D3"/>
    <w:rsid w:val="00A76A52"/>
    <w:rsid w:val="00A76BF2"/>
    <w:rsid w:val="00A7707F"/>
    <w:rsid w:val="00A770A5"/>
    <w:rsid w:val="00A7735F"/>
    <w:rsid w:val="00A776AD"/>
    <w:rsid w:val="00A779BD"/>
    <w:rsid w:val="00A806D6"/>
    <w:rsid w:val="00A80A3F"/>
    <w:rsid w:val="00A81028"/>
    <w:rsid w:val="00A8135C"/>
    <w:rsid w:val="00A81633"/>
    <w:rsid w:val="00A81694"/>
    <w:rsid w:val="00A81D9B"/>
    <w:rsid w:val="00A8221B"/>
    <w:rsid w:val="00A82508"/>
    <w:rsid w:val="00A82C1E"/>
    <w:rsid w:val="00A831D8"/>
    <w:rsid w:val="00A831F0"/>
    <w:rsid w:val="00A83309"/>
    <w:rsid w:val="00A83A44"/>
    <w:rsid w:val="00A83BF1"/>
    <w:rsid w:val="00A83CA0"/>
    <w:rsid w:val="00A84298"/>
    <w:rsid w:val="00A844CE"/>
    <w:rsid w:val="00A84A21"/>
    <w:rsid w:val="00A84A75"/>
    <w:rsid w:val="00A84B3A"/>
    <w:rsid w:val="00A84EBF"/>
    <w:rsid w:val="00A85237"/>
    <w:rsid w:val="00A8523D"/>
    <w:rsid w:val="00A85661"/>
    <w:rsid w:val="00A857F1"/>
    <w:rsid w:val="00A85F2C"/>
    <w:rsid w:val="00A85FFF"/>
    <w:rsid w:val="00A867E7"/>
    <w:rsid w:val="00A86F67"/>
    <w:rsid w:val="00A86FEF"/>
    <w:rsid w:val="00A8706A"/>
    <w:rsid w:val="00A87482"/>
    <w:rsid w:val="00A87771"/>
    <w:rsid w:val="00A87F4E"/>
    <w:rsid w:val="00A90134"/>
    <w:rsid w:val="00A9018A"/>
    <w:rsid w:val="00A901CB"/>
    <w:rsid w:val="00A905F1"/>
    <w:rsid w:val="00A90E27"/>
    <w:rsid w:val="00A91218"/>
    <w:rsid w:val="00A91469"/>
    <w:rsid w:val="00A9164F"/>
    <w:rsid w:val="00A91874"/>
    <w:rsid w:val="00A91BC5"/>
    <w:rsid w:val="00A91F3E"/>
    <w:rsid w:val="00A92457"/>
    <w:rsid w:val="00A92747"/>
    <w:rsid w:val="00A927EE"/>
    <w:rsid w:val="00A92ABB"/>
    <w:rsid w:val="00A92B81"/>
    <w:rsid w:val="00A934FE"/>
    <w:rsid w:val="00A93782"/>
    <w:rsid w:val="00A93800"/>
    <w:rsid w:val="00A938E5"/>
    <w:rsid w:val="00A93942"/>
    <w:rsid w:val="00A93BDA"/>
    <w:rsid w:val="00A93E34"/>
    <w:rsid w:val="00A93FAE"/>
    <w:rsid w:val="00A9448D"/>
    <w:rsid w:val="00A94A70"/>
    <w:rsid w:val="00A94BB8"/>
    <w:rsid w:val="00A9505F"/>
    <w:rsid w:val="00A9508C"/>
    <w:rsid w:val="00A9526D"/>
    <w:rsid w:val="00A95510"/>
    <w:rsid w:val="00A959E3"/>
    <w:rsid w:val="00A95A3E"/>
    <w:rsid w:val="00A95BD9"/>
    <w:rsid w:val="00A96058"/>
    <w:rsid w:val="00A964EC"/>
    <w:rsid w:val="00A9692B"/>
    <w:rsid w:val="00A96CF6"/>
    <w:rsid w:val="00A96D7E"/>
    <w:rsid w:val="00A96F7C"/>
    <w:rsid w:val="00A96F9C"/>
    <w:rsid w:val="00A970D0"/>
    <w:rsid w:val="00A9727C"/>
    <w:rsid w:val="00A9750F"/>
    <w:rsid w:val="00A97666"/>
    <w:rsid w:val="00A97B8A"/>
    <w:rsid w:val="00A97B8C"/>
    <w:rsid w:val="00A97DBD"/>
    <w:rsid w:val="00A97EF9"/>
    <w:rsid w:val="00AA0003"/>
    <w:rsid w:val="00AA0CDB"/>
    <w:rsid w:val="00AA0D9A"/>
    <w:rsid w:val="00AA1264"/>
    <w:rsid w:val="00AA158B"/>
    <w:rsid w:val="00AA1740"/>
    <w:rsid w:val="00AA1D12"/>
    <w:rsid w:val="00AA1EEC"/>
    <w:rsid w:val="00AA210C"/>
    <w:rsid w:val="00AA22CB"/>
    <w:rsid w:val="00AA29F2"/>
    <w:rsid w:val="00AA2CD8"/>
    <w:rsid w:val="00AA30A2"/>
    <w:rsid w:val="00AA4618"/>
    <w:rsid w:val="00AA461D"/>
    <w:rsid w:val="00AA4C09"/>
    <w:rsid w:val="00AA4F41"/>
    <w:rsid w:val="00AA5584"/>
    <w:rsid w:val="00AA576F"/>
    <w:rsid w:val="00AA6026"/>
    <w:rsid w:val="00AA617B"/>
    <w:rsid w:val="00AA6206"/>
    <w:rsid w:val="00AA630A"/>
    <w:rsid w:val="00AA6678"/>
    <w:rsid w:val="00AA69EF"/>
    <w:rsid w:val="00AA6F21"/>
    <w:rsid w:val="00AA6F9A"/>
    <w:rsid w:val="00AA762D"/>
    <w:rsid w:val="00AA7819"/>
    <w:rsid w:val="00AA7C4F"/>
    <w:rsid w:val="00AB001C"/>
    <w:rsid w:val="00AB02C8"/>
    <w:rsid w:val="00AB05BC"/>
    <w:rsid w:val="00AB06B8"/>
    <w:rsid w:val="00AB06E6"/>
    <w:rsid w:val="00AB0ADE"/>
    <w:rsid w:val="00AB0B59"/>
    <w:rsid w:val="00AB0CA0"/>
    <w:rsid w:val="00AB102D"/>
    <w:rsid w:val="00AB14A9"/>
    <w:rsid w:val="00AB1705"/>
    <w:rsid w:val="00AB1A33"/>
    <w:rsid w:val="00AB2857"/>
    <w:rsid w:val="00AB2C9D"/>
    <w:rsid w:val="00AB2EB7"/>
    <w:rsid w:val="00AB3299"/>
    <w:rsid w:val="00AB3418"/>
    <w:rsid w:val="00AB3491"/>
    <w:rsid w:val="00AB3865"/>
    <w:rsid w:val="00AB3D19"/>
    <w:rsid w:val="00AB3E16"/>
    <w:rsid w:val="00AB3E3E"/>
    <w:rsid w:val="00AB3F13"/>
    <w:rsid w:val="00AB4157"/>
    <w:rsid w:val="00AB42FF"/>
    <w:rsid w:val="00AB4300"/>
    <w:rsid w:val="00AB4728"/>
    <w:rsid w:val="00AB476F"/>
    <w:rsid w:val="00AB4B4E"/>
    <w:rsid w:val="00AB4D67"/>
    <w:rsid w:val="00AB4EFB"/>
    <w:rsid w:val="00AB513E"/>
    <w:rsid w:val="00AB51DA"/>
    <w:rsid w:val="00AB53BA"/>
    <w:rsid w:val="00AB57AD"/>
    <w:rsid w:val="00AB583A"/>
    <w:rsid w:val="00AB59D5"/>
    <w:rsid w:val="00AB5E39"/>
    <w:rsid w:val="00AB607B"/>
    <w:rsid w:val="00AB642C"/>
    <w:rsid w:val="00AB644A"/>
    <w:rsid w:val="00AB6458"/>
    <w:rsid w:val="00AB683D"/>
    <w:rsid w:val="00AB6CA0"/>
    <w:rsid w:val="00AB6DBE"/>
    <w:rsid w:val="00AB76D5"/>
    <w:rsid w:val="00AB7787"/>
    <w:rsid w:val="00AB78AC"/>
    <w:rsid w:val="00AB7913"/>
    <w:rsid w:val="00AB79A8"/>
    <w:rsid w:val="00AB7E99"/>
    <w:rsid w:val="00AC0169"/>
    <w:rsid w:val="00AC08A0"/>
    <w:rsid w:val="00AC0CC3"/>
    <w:rsid w:val="00AC1281"/>
    <w:rsid w:val="00AC1554"/>
    <w:rsid w:val="00AC1EC7"/>
    <w:rsid w:val="00AC21BA"/>
    <w:rsid w:val="00AC22C7"/>
    <w:rsid w:val="00AC281A"/>
    <w:rsid w:val="00AC2D4E"/>
    <w:rsid w:val="00AC3084"/>
    <w:rsid w:val="00AC3431"/>
    <w:rsid w:val="00AC38E9"/>
    <w:rsid w:val="00AC3AEB"/>
    <w:rsid w:val="00AC3E11"/>
    <w:rsid w:val="00AC4427"/>
    <w:rsid w:val="00AC45D6"/>
    <w:rsid w:val="00AC4D1B"/>
    <w:rsid w:val="00AC4D53"/>
    <w:rsid w:val="00AC4D9E"/>
    <w:rsid w:val="00AC4E2E"/>
    <w:rsid w:val="00AC5C2A"/>
    <w:rsid w:val="00AC5F7E"/>
    <w:rsid w:val="00AC61B3"/>
    <w:rsid w:val="00AC63F4"/>
    <w:rsid w:val="00AC6786"/>
    <w:rsid w:val="00AC7470"/>
    <w:rsid w:val="00AC7DE9"/>
    <w:rsid w:val="00AC7F8E"/>
    <w:rsid w:val="00AD12BD"/>
    <w:rsid w:val="00AD134A"/>
    <w:rsid w:val="00AD163D"/>
    <w:rsid w:val="00AD1860"/>
    <w:rsid w:val="00AD1B21"/>
    <w:rsid w:val="00AD1DFE"/>
    <w:rsid w:val="00AD1F06"/>
    <w:rsid w:val="00AD21A4"/>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3CCE"/>
    <w:rsid w:val="00AD4597"/>
    <w:rsid w:val="00AD48F9"/>
    <w:rsid w:val="00AD4C34"/>
    <w:rsid w:val="00AD4C7E"/>
    <w:rsid w:val="00AD57E1"/>
    <w:rsid w:val="00AD5F8C"/>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A4A"/>
    <w:rsid w:val="00AE2ECC"/>
    <w:rsid w:val="00AE3004"/>
    <w:rsid w:val="00AE3627"/>
    <w:rsid w:val="00AE3839"/>
    <w:rsid w:val="00AE3AF4"/>
    <w:rsid w:val="00AE4005"/>
    <w:rsid w:val="00AE425D"/>
    <w:rsid w:val="00AE42D1"/>
    <w:rsid w:val="00AE4309"/>
    <w:rsid w:val="00AE4557"/>
    <w:rsid w:val="00AE4A1F"/>
    <w:rsid w:val="00AE4C55"/>
    <w:rsid w:val="00AE4F01"/>
    <w:rsid w:val="00AE5929"/>
    <w:rsid w:val="00AE5A9F"/>
    <w:rsid w:val="00AE5C22"/>
    <w:rsid w:val="00AE5E95"/>
    <w:rsid w:val="00AE6433"/>
    <w:rsid w:val="00AE6584"/>
    <w:rsid w:val="00AE6740"/>
    <w:rsid w:val="00AE69BD"/>
    <w:rsid w:val="00AE6D12"/>
    <w:rsid w:val="00AE723D"/>
    <w:rsid w:val="00AE7751"/>
    <w:rsid w:val="00AE77DE"/>
    <w:rsid w:val="00AE780C"/>
    <w:rsid w:val="00AE7992"/>
    <w:rsid w:val="00AE7BBF"/>
    <w:rsid w:val="00AE7E45"/>
    <w:rsid w:val="00AF0FFE"/>
    <w:rsid w:val="00AF1414"/>
    <w:rsid w:val="00AF14DF"/>
    <w:rsid w:val="00AF15C3"/>
    <w:rsid w:val="00AF17EB"/>
    <w:rsid w:val="00AF19CD"/>
    <w:rsid w:val="00AF25F3"/>
    <w:rsid w:val="00AF28B0"/>
    <w:rsid w:val="00AF2DED"/>
    <w:rsid w:val="00AF30D9"/>
    <w:rsid w:val="00AF3560"/>
    <w:rsid w:val="00AF3C80"/>
    <w:rsid w:val="00AF3C8C"/>
    <w:rsid w:val="00AF3DE1"/>
    <w:rsid w:val="00AF4095"/>
    <w:rsid w:val="00AF41FC"/>
    <w:rsid w:val="00AF4447"/>
    <w:rsid w:val="00AF44BB"/>
    <w:rsid w:val="00AF457C"/>
    <w:rsid w:val="00AF4ABD"/>
    <w:rsid w:val="00AF5363"/>
    <w:rsid w:val="00AF5673"/>
    <w:rsid w:val="00AF579C"/>
    <w:rsid w:val="00AF5AC1"/>
    <w:rsid w:val="00AF5AFB"/>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735"/>
    <w:rsid w:val="00B01CC2"/>
    <w:rsid w:val="00B01F0D"/>
    <w:rsid w:val="00B02014"/>
    <w:rsid w:val="00B02221"/>
    <w:rsid w:val="00B0226D"/>
    <w:rsid w:val="00B023FC"/>
    <w:rsid w:val="00B02A4C"/>
    <w:rsid w:val="00B02AD0"/>
    <w:rsid w:val="00B02F3B"/>
    <w:rsid w:val="00B03101"/>
    <w:rsid w:val="00B039CE"/>
    <w:rsid w:val="00B03BB8"/>
    <w:rsid w:val="00B03D26"/>
    <w:rsid w:val="00B04AD7"/>
    <w:rsid w:val="00B04B86"/>
    <w:rsid w:val="00B04D36"/>
    <w:rsid w:val="00B04E9A"/>
    <w:rsid w:val="00B04F11"/>
    <w:rsid w:val="00B0540A"/>
    <w:rsid w:val="00B0550D"/>
    <w:rsid w:val="00B05688"/>
    <w:rsid w:val="00B0588E"/>
    <w:rsid w:val="00B06771"/>
    <w:rsid w:val="00B06C77"/>
    <w:rsid w:val="00B06D88"/>
    <w:rsid w:val="00B07390"/>
    <w:rsid w:val="00B075EC"/>
    <w:rsid w:val="00B076A7"/>
    <w:rsid w:val="00B076C4"/>
    <w:rsid w:val="00B07CBE"/>
    <w:rsid w:val="00B1041B"/>
    <w:rsid w:val="00B108ED"/>
    <w:rsid w:val="00B10931"/>
    <w:rsid w:val="00B1093D"/>
    <w:rsid w:val="00B10BA3"/>
    <w:rsid w:val="00B10BE8"/>
    <w:rsid w:val="00B10DF3"/>
    <w:rsid w:val="00B112C7"/>
    <w:rsid w:val="00B115D0"/>
    <w:rsid w:val="00B1167A"/>
    <w:rsid w:val="00B11882"/>
    <w:rsid w:val="00B11E29"/>
    <w:rsid w:val="00B12603"/>
    <w:rsid w:val="00B129F9"/>
    <w:rsid w:val="00B12A8C"/>
    <w:rsid w:val="00B12D52"/>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462"/>
    <w:rsid w:val="00B2063B"/>
    <w:rsid w:val="00B20CD7"/>
    <w:rsid w:val="00B20E2B"/>
    <w:rsid w:val="00B20F3D"/>
    <w:rsid w:val="00B21016"/>
    <w:rsid w:val="00B215F9"/>
    <w:rsid w:val="00B217CD"/>
    <w:rsid w:val="00B218E0"/>
    <w:rsid w:val="00B21B67"/>
    <w:rsid w:val="00B21CA7"/>
    <w:rsid w:val="00B22472"/>
    <w:rsid w:val="00B232CB"/>
    <w:rsid w:val="00B233A9"/>
    <w:rsid w:val="00B239CC"/>
    <w:rsid w:val="00B23C57"/>
    <w:rsid w:val="00B23E2E"/>
    <w:rsid w:val="00B24062"/>
    <w:rsid w:val="00B24F49"/>
    <w:rsid w:val="00B25585"/>
    <w:rsid w:val="00B2571D"/>
    <w:rsid w:val="00B2588A"/>
    <w:rsid w:val="00B25A0E"/>
    <w:rsid w:val="00B25A70"/>
    <w:rsid w:val="00B25AB2"/>
    <w:rsid w:val="00B25BD8"/>
    <w:rsid w:val="00B25E1D"/>
    <w:rsid w:val="00B25F9A"/>
    <w:rsid w:val="00B2613A"/>
    <w:rsid w:val="00B263BE"/>
    <w:rsid w:val="00B269CE"/>
    <w:rsid w:val="00B26F14"/>
    <w:rsid w:val="00B270DD"/>
    <w:rsid w:val="00B271E3"/>
    <w:rsid w:val="00B27202"/>
    <w:rsid w:val="00B2757B"/>
    <w:rsid w:val="00B27D54"/>
    <w:rsid w:val="00B304BF"/>
    <w:rsid w:val="00B3057A"/>
    <w:rsid w:val="00B308C7"/>
    <w:rsid w:val="00B317EB"/>
    <w:rsid w:val="00B318CB"/>
    <w:rsid w:val="00B3191F"/>
    <w:rsid w:val="00B31C72"/>
    <w:rsid w:val="00B31E5F"/>
    <w:rsid w:val="00B322A7"/>
    <w:rsid w:val="00B32507"/>
    <w:rsid w:val="00B32607"/>
    <w:rsid w:val="00B326BE"/>
    <w:rsid w:val="00B32F7F"/>
    <w:rsid w:val="00B33126"/>
    <w:rsid w:val="00B338CE"/>
    <w:rsid w:val="00B3396B"/>
    <w:rsid w:val="00B33F7C"/>
    <w:rsid w:val="00B342D0"/>
    <w:rsid w:val="00B34390"/>
    <w:rsid w:val="00B3442C"/>
    <w:rsid w:val="00B3539A"/>
    <w:rsid w:val="00B353D3"/>
    <w:rsid w:val="00B35B65"/>
    <w:rsid w:val="00B35CB3"/>
    <w:rsid w:val="00B35F8E"/>
    <w:rsid w:val="00B363A2"/>
    <w:rsid w:val="00B363C8"/>
    <w:rsid w:val="00B36906"/>
    <w:rsid w:val="00B37188"/>
    <w:rsid w:val="00B4003E"/>
    <w:rsid w:val="00B40292"/>
    <w:rsid w:val="00B406B2"/>
    <w:rsid w:val="00B40A84"/>
    <w:rsid w:val="00B40CEC"/>
    <w:rsid w:val="00B40D73"/>
    <w:rsid w:val="00B4110D"/>
    <w:rsid w:val="00B411A3"/>
    <w:rsid w:val="00B412CB"/>
    <w:rsid w:val="00B416D8"/>
    <w:rsid w:val="00B41B34"/>
    <w:rsid w:val="00B41BEE"/>
    <w:rsid w:val="00B42879"/>
    <w:rsid w:val="00B430D3"/>
    <w:rsid w:val="00B436A5"/>
    <w:rsid w:val="00B436F6"/>
    <w:rsid w:val="00B437BD"/>
    <w:rsid w:val="00B43985"/>
    <w:rsid w:val="00B439F2"/>
    <w:rsid w:val="00B439FA"/>
    <w:rsid w:val="00B43D4D"/>
    <w:rsid w:val="00B440C8"/>
    <w:rsid w:val="00B440CF"/>
    <w:rsid w:val="00B4418B"/>
    <w:rsid w:val="00B44370"/>
    <w:rsid w:val="00B443C5"/>
    <w:rsid w:val="00B4485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BBD"/>
    <w:rsid w:val="00B50E09"/>
    <w:rsid w:val="00B50FD1"/>
    <w:rsid w:val="00B51420"/>
    <w:rsid w:val="00B51526"/>
    <w:rsid w:val="00B5171B"/>
    <w:rsid w:val="00B517F1"/>
    <w:rsid w:val="00B518DF"/>
    <w:rsid w:val="00B51999"/>
    <w:rsid w:val="00B51A40"/>
    <w:rsid w:val="00B51A45"/>
    <w:rsid w:val="00B5238F"/>
    <w:rsid w:val="00B529F2"/>
    <w:rsid w:val="00B52EC8"/>
    <w:rsid w:val="00B53414"/>
    <w:rsid w:val="00B5370C"/>
    <w:rsid w:val="00B538FF"/>
    <w:rsid w:val="00B53EF5"/>
    <w:rsid w:val="00B54126"/>
    <w:rsid w:val="00B542BA"/>
    <w:rsid w:val="00B54989"/>
    <w:rsid w:val="00B54CC5"/>
    <w:rsid w:val="00B54F6F"/>
    <w:rsid w:val="00B553CF"/>
    <w:rsid w:val="00B555B8"/>
    <w:rsid w:val="00B55ACA"/>
    <w:rsid w:val="00B55C4D"/>
    <w:rsid w:val="00B55DB2"/>
    <w:rsid w:val="00B561BD"/>
    <w:rsid w:val="00B566E0"/>
    <w:rsid w:val="00B5685D"/>
    <w:rsid w:val="00B56E91"/>
    <w:rsid w:val="00B56F22"/>
    <w:rsid w:val="00B574BA"/>
    <w:rsid w:val="00B57861"/>
    <w:rsid w:val="00B578E2"/>
    <w:rsid w:val="00B60407"/>
    <w:rsid w:val="00B6059C"/>
    <w:rsid w:val="00B609AE"/>
    <w:rsid w:val="00B609F0"/>
    <w:rsid w:val="00B60E6E"/>
    <w:rsid w:val="00B6105D"/>
    <w:rsid w:val="00B6112D"/>
    <w:rsid w:val="00B6156C"/>
    <w:rsid w:val="00B619AF"/>
    <w:rsid w:val="00B61B85"/>
    <w:rsid w:val="00B61CFF"/>
    <w:rsid w:val="00B61F08"/>
    <w:rsid w:val="00B61F70"/>
    <w:rsid w:val="00B6237B"/>
    <w:rsid w:val="00B62894"/>
    <w:rsid w:val="00B62A18"/>
    <w:rsid w:val="00B62BBA"/>
    <w:rsid w:val="00B62F1E"/>
    <w:rsid w:val="00B6338B"/>
    <w:rsid w:val="00B634BC"/>
    <w:rsid w:val="00B63870"/>
    <w:rsid w:val="00B63872"/>
    <w:rsid w:val="00B63EFF"/>
    <w:rsid w:val="00B640AB"/>
    <w:rsid w:val="00B64124"/>
    <w:rsid w:val="00B64398"/>
    <w:rsid w:val="00B64484"/>
    <w:rsid w:val="00B645F8"/>
    <w:rsid w:val="00B64A44"/>
    <w:rsid w:val="00B64F38"/>
    <w:rsid w:val="00B651C8"/>
    <w:rsid w:val="00B652B0"/>
    <w:rsid w:val="00B65771"/>
    <w:rsid w:val="00B65B6B"/>
    <w:rsid w:val="00B664EC"/>
    <w:rsid w:val="00B66531"/>
    <w:rsid w:val="00B66801"/>
    <w:rsid w:val="00B6681F"/>
    <w:rsid w:val="00B668B4"/>
    <w:rsid w:val="00B66EB7"/>
    <w:rsid w:val="00B66FFC"/>
    <w:rsid w:val="00B670B9"/>
    <w:rsid w:val="00B675E7"/>
    <w:rsid w:val="00B6796C"/>
    <w:rsid w:val="00B67B2B"/>
    <w:rsid w:val="00B7001D"/>
    <w:rsid w:val="00B7021B"/>
    <w:rsid w:val="00B70333"/>
    <w:rsid w:val="00B70A49"/>
    <w:rsid w:val="00B70EDB"/>
    <w:rsid w:val="00B7160D"/>
    <w:rsid w:val="00B71A5D"/>
    <w:rsid w:val="00B71D4A"/>
    <w:rsid w:val="00B72066"/>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6F07"/>
    <w:rsid w:val="00B77062"/>
    <w:rsid w:val="00B7709F"/>
    <w:rsid w:val="00B770A1"/>
    <w:rsid w:val="00B77104"/>
    <w:rsid w:val="00B774CC"/>
    <w:rsid w:val="00B77B57"/>
    <w:rsid w:val="00B77D8A"/>
    <w:rsid w:val="00B8053A"/>
    <w:rsid w:val="00B80795"/>
    <w:rsid w:val="00B80D7A"/>
    <w:rsid w:val="00B80F5B"/>
    <w:rsid w:val="00B81578"/>
    <w:rsid w:val="00B81684"/>
    <w:rsid w:val="00B817F4"/>
    <w:rsid w:val="00B820AE"/>
    <w:rsid w:val="00B821AB"/>
    <w:rsid w:val="00B8222F"/>
    <w:rsid w:val="00B82515"/>
    <w:rsid w:val="00B82563"/>
    <w:rsid w:val="00B82A0E"/>
    <w:rsid w:val="00B82A8C"/>
    <w:rsid w:val="00B82DAA"/>
    <w:rsid w:val="00B830F7"/>
    <w:rsid w:val="00B8321E"/>
    <w:rsid w:val="00B837F5"/>
    <w:rsid w:val="00B83AC3"/>
    <w:rsid w:val="00B83DAC"/>
    <w:rsid w:val="00B83DF6"/>
    <w:rsid w:val="00B840A4"/>
    <w:rsid w:val="00B84BE8"/>
    <w:rsid w:val="00B85132"/>
    <w:rsid w:val="00B855A8"/>
    <w:rsid w:val="00B85837"/>
    <w:rsid w:val="00B85F67"/>
    <w:rsid w:val="00B86389"/>
    <w:rsid w:val="00B86557"/>
    <w:rsid w:val="00B86710"/>
    <w:rsid w:val="00B86AD8"/>
    <w:rsid w:val="00B86D87"/>
    <w:rsid w:val="00B871D4"/>
    <w:rsid w:val="00B87AF3"/>
    <w:rsid w:val="00B87C60"/>
    <w:rsid w:val="00B90165"/>
    <w:rsid w:val="00B911E8"/>
    <w:rsid w:val="00B91356"/>
    <w:rsid w:val="00B91E9D"/>
    <w:rsid w:val="00B922C4"/>
    <w:rsid w:val="00B924B5"/>
    <w:rsid w:val="00B92656"/>
    <w:rsid w:val="00B926E0"/>
    <w:rsid w:val="00B929F2"/>
    <w:rsid w:val="00B92AD4"/>
    <w:rsid w:val="00B92B35"/>
    <w:rsid w:val="00B92BF1"/>
    <w:rsid w:val="00B92F4C"/>
    <w:rsid w:val="00B932E1"/>
    <w:rsid w:val="00B93C36"/>
    <w:rsid w:val="00B93E76"/>
    <w:rsid w:val="00B93FE8"/>
    <w:rsid w:val="00B94054"/>
    <w:rsid w:val="00B94253"/>
    <w:rsid w:val="00B9436E"/>
    <w:rsid w:val="00B946E7"/>
    <w:rsid w:val="00B94C86"/>
    <w:rsid w:val="00B94F63"/>
    <w:rsid w:val="00B950E8"/>
    <w:rsid w:val="00B95372"/>
    <w:rsid w:val="00B953FF"/>
    <w:rsid w:val="00B954FC"/>
    <w:rsid w:val="00B9553A"/>
    <w:rsid w:val="00B9556E"/>
    <w:rsid w:val="00B95A04"/>
    <w:rsid w:val="00B95C49"/>
    <w:rsid w:val="00B95EEF"/>
    <w:rsid w:val="00B95FD7"/>
    <w:rsid w:val="00B96228"/>
    <w:rsid w:val="00B96313"/>
    <w:rsid w:val="00B96412"/>
    <w:rsid w:val="00B96CF0"/>
    <w:rsid w:val="00B96DA2"/>
    <w:rsid w:val="00B977E6"/>
    <w:rsid w:val="00B97AD5"/>
    <w:rsid w:val="00BA01BE"/>
    <w:rsid w:val="00BA067F"/>
    <w:rsid w:val="00BA0B92"/>
    <w:rsid w:val="00BA0EC1"/>
    <w:rsid w:val="00BA12C5"/>
    <w:rsid w:val="00BA13E0"/>
    <w:rsid w:val="00BA1534"/>
    <w:rsid w:val="00BA1731"/>
    <w:rsid w:val="00BA17C4"/>
    <w:rsid w:val="00BA270E"/>
    <w:rsid w:val="00BA2729"/>
    <w:rsid w:val="00BA277F"/>
    <w:rsid w:val="00BA283C"/>
    <w:rsid w:val="00BA2AEB"/>
    <w:rsid w:val="00BA2B41"/>
    <w:rsid w:val="00BA2FA6"/>
    <w:rsid w:val="00BA3603"/>
    <w:rsid w:val="00BA3721"/>
    <w:rsid w:val="00BA388C"/>
    <w:rsid w:val="00BA3974"/>
    <w:rsid w:val="00BA3C13"/>
    <w:rsid w:val="00BA3CC9"/>
    <w:rsid w:val="00BA3D2F"/>
    <w:rsid w:val="00BA3F29"/>
    <w:rsid w:val="00BA40BE"/>
    <w:rsid w:val="00BA48E0"/>
    <w:rsid w:val="00BA4CF4"/>
    <w:rsid w:val="00BA54FB"/>
    <w:rsid w:val="00BA56B1"/>
    <w:rsid w:val="00BA5C97"/>
    <w:rsid w:val="00BA5EFB"/>
    <w:rsid w:val="00BA6230"/>
    <w:rsid w:val="00BA659A"/>
    <w:rsid w:val="00BA68C1"/>
    <w:rsid w:val="00BA68FE"/>
    <w:rsid w:val="00BA6D50"/>
    <w:rsid w:val="00BA712E"/>
    <w:rsid w:val="00BA72BE"/>
    <w:rsid w:val="00BA7423"/>
    <w:rsid w:val="00BA7688"/>
    <w:rsid w:val="00BA7EB0"/>
    <w:rsid w:val="00BB008F"/>
    <w:rsid w:val="00BB0528"/>
    <w:rsid w:val="00BB070E"/>
    <w:rsid w:val="00BB0D75"/>
    <w:rsid w:val="00BB1038"/>
    <w:rsid w:val="00BB1286"/>
    <w:rsid w:val="00BB152D"/>
    <w:rsid w:val="00BB1C4F"/>
    <w:rsid w:val="00BB20E7"/>
    <w:rsid w:val="00BB225D"/>
    <w:rsid w:val="00BB277B"/>
    <w:rsid w:val="00BB2835"/>
    <w:rsid w:val="00BB3373"/>
    <w:rsid w:val="00BB365A"/>
    <w:rsid w:val="00BB37B0"/>
    <w:rsid w:val="00BB3A61"/>
    <w:rsid w:val="00BB3D91"/>
    <w:rsid w:val="00BB3F4C"/>
    <w:rsid w:val="00BB452B"/>
    <w:rsid w:val="00BB4A42"/>
    <w:rsid w:val="00BB5075"/>
    <w:rsid w:val="00BB52EF"/>
    <w:rsid w:val="00BB5321"/>
    <w:rsid w:val="00BB55C2"/>
    <w:rsid w:val="00BB56F2"/>
    <w:rsid w:val="00BB57E0"/>
    <w:rsid w:val="00BB5846"/>
    <w:rsid w:val="00BB60EB"/>
    <w:rsid w:val="00BB61DC"/>
    <w:rsid w:val="00BB6258"/>
    <w:rsid w:val="00BB6431"/>
    <w:rsid w:val="00BB645D"/>
    <w:rsid w:val="00BB6472"/>
    <w:rsid w:val="00BB6BAE"/>
    <w:rsid w:val="00BB71EC"/>
    <w:rsid w:val="00BB724B"/>
    <w:rsid w:val="00BB7266"/>
    <w:rsid w:val="00BB740F"/>
    <w:rsid w:val="00BB7A92"/>
    <w:rsid w:val="00BB7DB1"/>
    <w:rsid w:val="00BC0AC4"/>
    <w:rsid w:val="00BC0AE6"/>
    <w:rsid w:val="00BC1293"/>
    <w:rsid w:val="00BC16BF"/>
    <w:rsid w:val="00BC17D9"/>
    <w:rsid w:val="00BC1B4B"/>
    <w:rsid w:val="00BC201A"/>
    <w:rsid w:val="00BC2BC7"/>
    <w:rsid w:val="00BC2F45"/>
    <w:rsid w:val="00BC344E"/>
    <w:rsid w:val="00BC38B8"/>
    <w:rsid w:val="00BC39F5"/>
    <w:rsid w:val="00BC3CF8"/>
    <w:rsid w:val="00BC40EC"/>
    <w:rsid w:val="00BC4B9C"/>
    <w:rsid w:val="00BC4D50"/>
    <w:rsid w:val="00BC5181"/>
    <w:rsid w:val="00BC542C"/>
    <w:rsid w:val="00BC56C1"/>
    <w:rsid w:val="00BC59F8"/>
    <w:rsid w:val="00BC5CE2"/>
    <w:rsid w:val="00BC625F"/>
    <w:rsid w:val="00BC642E"/>
    <w:rsid w:val="00BC6742"/>
    <w:rsid w:val="00BC6C82"/>
    <w:rsid w:val="00BC6DD0"/>
    <w:rsid w:val="00BC71C5"/>
    <w:rsid w:val="00BC7659"/>
    <w:rsid w:val="00BC791C"/>
    <w:rsid w:val="00BC7A42"/>
    <w:rsid w:val="00BC7D8B"/>
    <w:rsid w:val="00BC7E6E"/>
    <w:rsid w:val="00BD013A"/>
    <w:rsid w:val="00BD013E"/>
    <w:rsid w:val="00BD0263"/>
    <w:rsid w:val="00BD0383"/>
    <w:rsid w:val="00BD082C"/>
    <w:rsid w:val="00BD08EE"/>
    <w:rsid w:val="00BD0FC4"/>
    <w:rsid w:val="00BD1122"/>
    <w:rsid w:val="00BD13ED"/>
    <w:rsid w:val="00BD140B"/>
    <w:rsid w:val="00BD171F"/>
    <w:rsid w:val="00BD1749"/>
    <w:rsid w:val="00BD2161"/>
    <w:rsid w:val="00BD238C"/>
    <w:rsid w:val="00BD2A08"/>
    <w:rsid w:val="00BD2B43"/>
    <w:rsid w:val="00BD2F3B"/>
    <w:rsid w:val="00BD2F55"/>
    <w:rsid w:val="00BD3837"/>
    <w:rsid w:val="00BD385B"/>
    <w:rsid w:val="00BD386B"/>
    <w:rsid w:val="00BD3C69"/>
    <w:rsid w:val="00BD3D7A"/>
    <w:rsid w:val="00BD4355"/>
    <w:rsid w:val="00BD45DB"/>
    <w:rsid w:val="00BD4A64"/>
    <w:rsid w:val="00BD50A3"/>
    <w:rsid w:val="00BD5A26"/>
    <w:rsid w:val="00BD5A74"/>
    <w:rsid w:val="00BD5D4D"/>
    <w:rsid w:val="00BD614C"/>
    <w:rsid w:val="00BD6227"/>
    <w:rsid w:val="00BD6509"/>
    <w:rsid w:val="00BD689C"/>
    <w:rsid w:val="00BD6909"/>
    <w:rsid w:val="00BD6A22"/>
    <w:rsid w:val="00BD78B8"/>
    <w:rsid w:val="00BD7A82"/>
    <w:rsid w:val="00BD7F9E"/>
    <w:rsid w:val="00BE05B1"/>
    <w:rsid w:val="00BE072F"/>
    <w:rsid w:val="00BE09AF"/>
    <w:rsid w:val="00BE0C3B"/>
    <w:rsid w:val="00BE0DCA"/>
    <w:rsid w:val="00BE10F4"/>
    <w:rsid w:val="00BE125F"/>
    <w:rsid w:val="00BE13B8"/>
    <w:rsid w:val="00BE16CB"/>
    <w:rsid w:val="00BE194C"/>
    <w:rsid w:val="00BE197A"/>
    <w:rsid w:val="00BE19EA"/>
    <w:rsid w:val="00BE1A06"/>
    <w:rsid w:val="00BE1F8E"/>
    <w:rsid w:val="00BE2DD4"/>
    <w:rsid w:val="00BE2E99"/>
    <w:rsid w:val="00BE3AFA"/>
    <w:rsid w:val="00BE3F52"/>
    <w:rsid w:val="00BE403F"/>
    <w:rsid w:val="00BE45C1"/>
    <w:rsid w:val="00BE4E89"/>
    <w:rsid w:val="00BE51C7"/>
    <w:rsid w:val="00BE5515"/>
    <w:rsid w:val="00BE5613"/>
    <w:rsid w:val="00BE5813"/>
    <w:rsid w:val="00BE5C7E"/>
    <w:rsid w:val="00BE6038"/>
    <w:rsid w:val="00BE65B3"/>
    <w:rsid w:val="00BE68B9"/>
    <w:rsid w:val="00BE7265"/>
    <w:rsid w:val="00BE76F8"/>
    <w:rsid w:val="00BE7B27"/>
    <w:rsid w:val="00BE7D17"/>
    <w:rsid w:val="00BF02E6"/>
    <w:rsid w:val="00BF02F3"/>
    <w:rsid w:val="00BF0423"/>
    <w:rsid w:val="00BF04B1"/>
    <w:rsid w:val="00BF0963"/>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3F44"/>
    <w:rsid w:val="00BF46F1"/>
    <w:rsid w:val="00BF4923"/>
    <w:rsid w:val="00BF4B69"/>
    <w:rsid w:val="00BF50EB"/>
    <w:rsid w:val="00BF5350"/>
    <w:rsid w:val="00BF55D0"/>
    <w:rsid w:val="00BF5623"/>
    <w:rsid w:val="00BF56A8"/>
    <w:rsid w:val="00BF57C6"/>
    <w:rsid w:val="00BF5D25"/>
    <w:rsid w:val="00BF60E3"/>
    <w:rsid w:val="00BF6344"/>
    <w:rsid w:val="00BF6580"/>
    <w:rsid w:val="00BF6597"/>
    <w:rsid w:val="00BF67D3"/>
    <w:rsid w:val="00BF6FBF"/>
    <w:rsid w:val="00BF70A1"/>
    <w:rsid w:val="00BF70F8"/>
    <w:rsid w:val="00BF75EE"/>
    <w:rsid w:val="00BF7CDD"/>
    <w:rsid w:val="00BF7D43"/>
    <w:rsid w:val="00BF7DF3"/>
    <w:rsid w:val="00BF7F22"/>
    <w:rsid w:val="00C00356"/>
    <w:rsid w:val="00C004EF"/>
    <w:rsid w:val="00C007CA"/>
    <w:rsid w:val="00C00BC2"/>
    <w:rsid w:val="00C00F1A"/>
    <w:rsid w:val="00C00F38"/>
    <w:rsid w:val="00C010F5"/>
    <w:rsid w:val="00C01835"/>
    <w:rsid w:val="00C01983"/>
    <w:rsid w:val="00C01C25"/>
    <w:rsid w:val="00C01DFD"/>
    <w:rsid w:val="00C02176"/>
    <w:rsid w:val="00C02192"/>
    <w:rsid w:val="00C02370"/>
    <w:rsid w:val="00C02517"/>
    <w:rsid w:val="00C0279C"/>
    <w:rsid w:val="00C02C95"/>
    <w:rsid w:val="00C02CDE"/>
    <w:rsid w:val="00C03B7B"/>
    <w:rsid w:val="00C03C30"/>
    <w:rsid w:val="00C04339"/>
    <w:rsid w:val="00C04497"/>
    <w:rsid w:val="00C0471C"/>
    <w:rsid w:val="00C04C6C"/>
    <w:rsid w:val="00C04DE2"/>
    <w:rsid w:val="00C05395"/>
    <w:rsid w:val="00C057E0"/>
    <w:rsid w:val="00C05863"/>
    <w:rsid w:val="00C05C20"/>
    <w:rsid w:val="00C05D67"/>
    <w:rsid w:val="00C05F3E"/>
    <w:rsid w:val="00C06031"/>
    <w:rsid w:val="00C06066"/>
    <w:rsid w:val="00C06435"/>
    <w:rsid w:val="00C0648A"/>
    <w:rsid w:val="00C067A4"/>
    <w:rsid w:val="00C06E36"/>
    <w:rsid w:val="00C06F8C"/>
    <w:rsid w:val="00C07107"/>
    <w:rsid w:val="00C072E5"/>
    <w:rsid w:val="00C0734B"/>
    <w:rsid w:val="00C07A6C"/>
    <w:rsid w:val="00C07A84"/>
    <w:rsid w:val="00C07AE3"/>
    <w:rsid w:val="00C07AE4"/>
    <w:rsid w:val="00C07C5C"/>
    <w:rsid w:val="00C102B9"/>
    <w:rsid w:val="00C10599"/>
    <w:rsid w:val="00C108C6"/>
    <w:rsid w:val="00C10F46"/>
    <w:rsid w:val="00C1114F"/>
    <w:rsid w:val="00C11183"/>
    <w:rsid w:val="00C11197"/>
    <w:rsid w:val="00C1157C"/>
    <w:rsid w:val="00C118E3"/>
    <w:rsid w:val="00C11C33"/>
    <w:rsid w:val="00C11C73"/>
    <w:rsid w:val="00C11D58"/>
    <w:rsid w:val="00C11FE5"/>
    <w:rsid w:val="00C11FF6"/>
    <w:rsid w:val="00C12068"/>
    <w:rsid w:val="00C1283A"/>
    <w:rsid w:val="00C12EB5"/>
    <w:rsid w:val="00C1328A"/>
    <w:rsid w:val="00C13504"/>
    <w:rsid w:val="00C13C8A"/>
    <w:rsid w:val="00C13F22"/>
    <w:rsid w:val="00C1401B"/>
    <w:rsid w:val="00C140FE"/>
    <w:rsid w:val="00C14346"/>
    <w:rsid w:val="00C14691"/>
    <w:rsid w:val="00C1473E"/>
    <w:rsid w:val="00C14EF8"/>
    <w:rsid w:val="00C15135"/>
    <w:rsid w:val="00C1591A"/>
    <w:rsid w:val="00C1591B"/>
    <w:rsid w:val="00C159ED"/>
    <w:rsid w:val="00C15D8C"/>
    <w:rsid w:val="00C16386"/>
    <w:rsid w:val="00C16598"/>
    <w:rsid w:val="00C165C6"/>
    <w:rsid w:val="00C1662C"/>
    <w:rsid w:val="00C16813"/>
    <w:rsid w:val="00C16B16"/>
    <w:rsid w:val="00C16CD9"/>
    <w:rsid w:val="00C16CEE"/>
    <w:rsid w:val="00C17099"/>
    <w:rsid w:val="00C170AE"/>
    <w:rsid w:val="00C173EB"/>
    <w:rsid w:val="00C17503"/>
    <w:rsid w:val="00C17593"/>
    <w:rsid w:val="00C176B6"/>
    <w:rsid w:val="00C17D7E"/>
    <w:rsid w:val="00C17D89"/>
    <w:rsid w:val="00C17F9B"/>
    <w:rsid w:val="00C202D5"/>
    <w:rsid w:val="00C2068D"/>
    <w:rsid w:val="00C206C4"/>
    <w:rsid w:val="00C206EC"/>
    <w:rsid w:val="00C207CE"/>
    <w:rsid w:val="00C20A2D"/>
    <w:rsid w:val="00C20AD7"/>
    <w:rsid w:val="00C20DD5"/>
    <w:rsid w:val="00C20F2A"/>
    <w:rsid w:val="00C226CE"/>
    <w:rsid w:val="00C227E3"/>
    <w:rsid w:val="00C232DD"/>
    <w:rsid w:val="00C23452"/>
    <w:rsid w:val="00C2423A"/>
    <w:rsid w:val="00C2431A"/>
    <w:rsid w:val="00C244D8"/>
    <w:rsid w:val="00C24789"/>
    <w:rsid w:val="00C24EE5"/>
    <w:rsid w:val="00C250CF"/>
    <w:rsid w:val="00C2544D"/>
    <w:rsid w:val="00C26871"/>
    <w:rsid w:val="00C268D9"/>
    <w:rsid w:val="00C2695A"/>
    <w:rsid w:val="00C26EB2"/>
    <w:rsid w:val="00C27156"/>
    <w:rsid w:val="00C274BE"/>
    <w:rsid w:val="00C275D9"/>
    <w:rsid w:val="00C27612"/>
    <w:rsid w:val="00C2769D"/>
    <w:rsid w:val="00C27CD4"/>
    <w:rsid w:val="00C27E49"/>
    <w:rsid w:val="00C307FA"/>
    <w:rsid w:val="00C30C4B"/>
    <w:rsid w:val="00C30D3F"/>
    <w:rsid w:val="00C30DAA"/>
    <w:rsid w:val="00C30F1F"/>
    <w:rsid w:val="00C30FB5"/>
    <w:rsid w:val="00C31089"/>
    <w:rsid w:val="00C313D2"/>
    <w:rsid w:val="00C314DF"/>
    <w:rsid w:val="00C315D4"/>
    <w:rsid w:val="00C3160D"/>
    <w:rsid w:val="00C3175A"/>
    <w:rsid w:val="00C319A2"/>
    <w:rsid w:val="00C32053"/>
    <w:rsid w:val="00C3208A"/>
    <w:rsid w:val="00C3260A"/>
    <w:rsid w:val="00C32BB7"/>
    <w:rsid w:val="00C32CCE"/>
    <w:rsid w:val="00C32F27"/>
    <w:rsid w:val="00C3313C"/>
    <w:rsid w:val="00C33560"/>
    <w:rsid w:val="00C337EC"/>
    <w:rsid w:val="00C339DE"/>
    <w:rsid w:val="00C33AA7"/>
    <w:rsid w:val="00C33DCE"/>
    <w:rsid w:val="00C34020"/>
    <w:rsid w:val="00C3463A"/>
    <w:rsid w:val="00C346BB"/>
    <w:rsid w:val="00C346C1"/>
    <w:rsid w:val="00C34BDB"/>
    <w:rsid w:val="00C34C05"/>
    <w:rsid w:val="00C34D4B"/>
    <w:rsid w:val="00C34F16"/>
    <w:rsid w:val="00C351D2"/>
    <w:rsid w:val="00C3566B"/>
    <w:rsid w:val="00C3582F"/>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2D1"/>
    <w:rsid w:val="00C41388"/>
    <w:rsid w:val="00C41E8D"/>
    <w:rsid w:val="00C42106"/>
    <w:rsid w:val="00C42130"/>
    <w:rsid w:val="00C42784"/>
    <w:rsid w:val="00C429E1"/>
    <w:rsid w:val="00C42B06"/>
    <w:rsid w:val="00C42EEC"/>
    <w:rsid w:val="00C4301B"/>
    <w:rsid w:val="00C4332D"/>
    <w:rsid w:val="00C439F0"/>
    <w:rsid w:val="00C43CE7"/>
    <w:rsid w:val="00C440DC"/>
    <w:rsid w:val="00C44189"/>
    <w:rsid w:val="00C447FB"/>
    <w:rsid w:val="00C44F96"/>
    <w:rsid w:val="00C44FF2"/>
    <w:rsid w:val="00C45228"/>
    <w:rsid w:val="00C4587D"/>
    <w:rsid w:val="00C458FF"/>
    <w:rsid w:val="00C45A44"/>
    <w:rsid w:val="00C45C66"/>
    <w:rsid w:val="00C464A1"/>
    <w:rsid w:val="00C470AA"/>
    <w:rsid w:val="00C470D2"/>
    <w:rsid w:val="00C476E4"/>
    <w:rsid w:val="00C47AE8"/>
    <w:rsid w:val="00C47B93"/>
    <w:rsid w:val="00C47BDE"/>
    <w:rsid w:val="00C47EC4"/>
    <w:rsid w:val="00C508B7"/>
    <w:rsid w:val="00C509D3"/>
    <w:rsid w:val="00C5121A"/>
    <w:rsid w:val="00C51696"/>
    <w:rsid w:val="00C5193F"/>
    <w:rsid w:val="00C51A6A"/>
    <w:rsid w:val="00C51D11"/>
    <w:rsid w:val="00C51D30"/>
    <w:rsid w:val="00C51F21"/>
    <w:rsid w:val="00C521CD"/>
    <w:rsid w:val="00C5257E"/>
    <w:rsid w:val="00C52A01"/>
    <w:rsid w:val="00C52DD4"/>
    <w:rsid w:val="00C531B4"/>
    <w:rsid w:val="00C532F9"/>
    <w:rsid w:val="00C53422"/>
    <w:rsid w:val="00C53E22"/>
    <w:rsid w:val="00C5462C"/>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513"/>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D7E"/>
    <w:rsid w:val="00C64849"/>
    <w:rsid w:val="00C64F38"/>
    <w:rsid w:val="00C6560B"/>
    <w:rsid w:val="00C6560D"/>
    <w:rsid w:val="00C65A91"/>
    <w:rsid w:val="00C65ADD"/>
    <w:rsid w:val="00C65D24"/>
    <w:rsid w:val="00C65E0D"/>
    <w:rsid w:val="00C65EE7"/>
    <w:rsid w:val="00C65F58"/>
    <w:rsid w:val="00C6622D"/>
    <w:rsid w:val="00C6655D"/>
    <w:rsid w:val="00C66571"/>
    <w:rsid w:val="00C66649"/>
    <w:rsid w:val="00C666DB"/>
    <w:rsid w:val="00C667F6"/>
    <w:rsid w:val="00C66C34"/>
    <w:rsid w:val="00C66DB3"/>
    <w:rsid w:val="00C66E67"/>
    <w:rsid w:val="00C67118"/>
    <w:rsid w:val="00C67135"/>
    <w:rsid w:val="00C67258"/>
    <w:rsid w:val="00C677EB"/>
    <w:rsid w:val="00C67E2E"/>
    <w:rsid w:val="00C67F34"/>
    <w:rsid w:val="00C70366"/>
    <w:rsid w:val="00C7040D"/>
    <w:rsid w:val="00C7079A"/>
    <w:rsid w:val="00C707F9"/>
    <w:rsid w:val="00C70B8C"/>
    <w:rsid w:val="00C71082"/>
    <w:rsid w:val="00C71327"/>
    <w:rsid w:val="00C71468"/>
    <w:rsid w:val="00C723AF"/>
    <w:rsid w:val="00C723CA"/>
    <w:rsid w:val="00C72681"/>
    <w:rsid w:val="00C7271F"/>
    <w:rsid w:val="00C7280C"/>
    <w:rsid w:val="00C72B80"/>
    <w:rsid w:val="00C72E68"/>
    <w:rsid w:val="00C72EF5"/>
    <w:rsid w:val="00C7322E"/>
    <w:rsid w:val="00C733ED"/>
    <w:rsid w:val="00C7357D"/>
    <w:rsid w:val="00C73BF6"/>
    <w:rsid w:val="00C73F11"/>
    <w:rsid w:val="00C74157"/>
    <w:rsid w:val="00C7448E"/>
    <w:rsid w:val="00C74859"/>
    <w:rsid w:val="00C748E2"/>
    <w:rsid w:val="00C74B2A"/>
    <w:rsid w:val="00C75004"/>
    <w:rsid w:val="00C75211"/>
    <w:rsid w:val="00C755E8"/>
    <w:rsid w:val="00C75605"/>
    <w:rsid w:val="00C75970"/>
    <w:rsid w:val="00C75AC4"/>
    <w:rsid w:val="00C75C9D"/>
    <w:rsid w:val="00C76952"/>
    <w:rsid w:val="00C76C8A"/>
    <w:rsid w:val="00C76DAD"/>
    <w:rsid w:val="00C77287"/>
    <w:rsid w:val="00C7731D"/>
    <w:rsid w:val="00C7799E"/>
    <w:rsid w:val="00C77DB8"/>
    <w:rsid w:val="00C77E49"/>
    <w:rsid w:val="00C80441"/>
    <w:rsid w:val="00C80547"/>
    <w:rsid w:val="00C80CD8"/>
    <w:rsid w:val="00C80DB5"/>
    <w:rsid w:val="00C8198E"/>
    <w:rsid w:val="00C81B30"/>
    <w:rsid w:val="00C8220B"/>
    <w:rsid w:val="00C82387"/>
    <w:rsid w:val="00C823D0"/>
    <w:rsid w:val="00C831FC"/>
    <w:rsid w:val="00C8395C"/>
    <w:rsid w:val="00C83D50"/>
    <w:rsid w:val="00C84176"/>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0D9"/>
    <w:rsid w:val="00C901A9"/>
    <w:rsid w:val="00C9047A"/>
    <w:rsid w:val="00C905AC"/>
    <w:rsid w:val="00C9065E"/>
    <w:rsid w:val="00C90B43"/>
    <w:rsid w:val="00C90C65"/>
    <w:rsid w:val="00C90C82"/>
    <w:rsid w:val="00C90F7A"/>
    <w:rsid w:val="00C911EF"/>
    <w:rsid w:val="00C91254"/>
    <w:rsid w:val="00C9169D"/>
    <w:rsid w:val="00C91BBC"/>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2D1E"/>
    <w:rsid w:val="00CA3474"/>
    <w:rsid w:val="00CA3DB2"/>
    <w:rsid w:val="00CA41D9"/>
    <w:rsid w:val="00CA4586"/>
    <w:rsid w:val="00CA49C0"/>
    <w:rsid w:val="00CA4A24"/>
    <w:rsid w:val="00CA4A3F"/>
    <w:rsid w:val="00CA4C14"/>
    <w:rsid w:val="00CA4D19"/>
    <w:rsid w:val="00CA4F58"/>
    <w:rsid w:val="00CA51A0"/>
    <w:rsid w:val="00CA5DA3"/>
    <w:rsid w:val="00CA5F65"/>
    <w:rsid w:val="00CA6164"/>
    <w:rsid w:val="00CA66FF"/>
    <w:rsid w:val="00CA6734"/>
    <w:rsid w:val="00CA6BDF"/>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5D2"/>
    <w:rsid w:val="00CB480A"/>
    <w:rsid w:val="00CB482E"/>
    <w:rsid w:val="00CB4FA5"/>
    <w:rsid w:val="00CB5008"/>
    <w:rsid w:val="00CB58DD"/>
    <w:rsid w:val="00CB59CB"/>
    <w:rsid w:val="00CB5D56"/>
    <w:rsid w:val="00CB5D9F"/>
    <w:rsid w:val="00CB6343"/>
    <w:rsid w:val="00CB6517"/>
    <w:rsid w:val="00CB7648"/>
    <w:rsid w:val="00CB79A4"/>
    <w:rsid w:val="00CB7B6B"/>
    <w:rsid w:val="00CB7F5F"/>
    <w:rsid w:val="00CC00B7"/>
    <w:rsid w:val="00CC034B"/>
    <w:rsid w:val="00CC03DB"/>
    <w:rsid w:val="00CC07BA"/>
    <w:rsid w:val="00CC099A"/>
    <w:rsid w:val="00CC0AA7"/>
    <w:rsid w:val="00CC0E56"/>
    <w:rsid w:val="00CC124C"/>
    <w:rsid w:val="00CC1555"/>
    <w:rsid w:val="00CC172A"/>
    <w:rsid w:val="00CC1A18"/>
    <w:rsid w:val="00CC1D2E"/>
    <w:rsid w:val="00CC1E3E"/>
    <w:rsid w:val="00CC1E40"/>
    <w:rsid w:val="00CC23DA"/>
    <w:rsid w:val="00CC27F5"/>
    <w:rsid w:val="00CC2D18"/>
    <w:rsid w:val="00CC2EFE"/>
    <w:rsid w:val="00CC32B0"/>
    <w:rsid w:val="00CC34E2"/>
    <w:rsid w:val="00CC3983"/>
    <w:rsid w:val="00CC3D8D"/>
    <w:rsid w:val="00CC3E8C"/>
    <w:rsid w:val="00CC400F"/>
    <w:rsid w:val="00CC4365"/>
    <w:rsid w:val="00CC439D"/>
    <w:rsid w:val="00CC4C5E"/>
    <w:rsid w:val="00CC4C9E"/>
    <w:rsid w:val="00CC4CD7"/>
    <w:rsid w:val="00CC4E61"/>
    <w:rsid w:val="00CC4F58"/>
    <w:rsid w:val="00CC57AE"/>
    <w:rsid w:val="00CC606C"/>
    <w:rsid w:val="00CC620F"/>
    <w:rsid w:val="00CC728B"/>
    <w:rsid w:val="00CC7356"/>
    <w:rsid w:val="00CC74D5"/>
    <w:rsid w:val="00CC74E5"/>
    <w:rsid w:val="00CC7A6D"/>
    <w:rsid w:val="00CC7A88"/>
    <w:rsid w:val="00CC7D7B"/>
    <w:rsid w:val="00CC7DF5"/>
    <w:rsid w:val="00CD044D"/>
    <w:rsid w:val="00CD04B6"/>
    <w:rsid w:val="00CD0740"/>
    <w:rsid w:val="00CD0768"/>
    <w:rsid w:val="00CD0B87"/>
    <w:rsid w:val="00CD12F2"/>
    <w:rsid w:val="00CD14CB"/>
    <w:rsid w:val="00CD179D"/>
    <w:rsid w:val="00CD1E74"/>
    <w:rsid w:val="00CD2585"/>
    <w:rsid w:val="00CD283A"/>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823"/>
    <w:rsid w:val="00CD6D63"/>
    <w:rsid w:val="00CD6E0B"/>
    <w:rsid w:val="00CD6F64"/>
    <w:rsid w:val="00CD742A"/>
    <w:rsid w:val="00CD787F"/>
    <w:rsid w:val="00CD7A86"/>
    <w:rsid w:val="00CD7EAE"/>
    <w:rsid w:val="00CD7F04"/>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C8D"/>
    <w:rsid w:val="00CE2DF0"/>
    <w:rsid w:val="00CE3257"/>
    <w:rsid w:val="00CE38AA"/>
    <w:rsid w:val="00CE3CDC"/>
    <w:rsid w:val="00CE3D16"/>
    <w:rsid w:val="00CE3D41"/>
    <w:rsid w:val="00CE3FBA"/>
    <w:rsid w:val="00CE44B7"/>
    <w:rsid w:val="00CE5386"/>
    <w:rsid w:val="00CE53A7"/>
    <w:rsid w:val="00CE5918"/>
    <w:rsid w:val="00CE5CB1"/>
    <w:rsid w:val="00CE5E50"/>
    <w:rsid w:val="00CE630B"/>
    <w:rsid w:val="00CE69F3"/>
    <w:rsid w:val="00CE6AD5"/>
    <w:rsid w:val="00CE6E24"/>
    <w:rsid w:val="00CE7392"/>
    <w:rsid w:val="00CE76BD"/>
    <w:rsid w:val="00CE781A"/>
    <w:rsid w:val="00CF0131"/>
    <w:rsid w:val="00CF02AC"/>
    <w:rsid w:val="00CF057C"/>
    <w:rsid w:val="00CF06E6"/>
    <w:rsid w:val="00CF06E9"/>
    <w:rsid w:val="00CF0E4F"/>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616"/>
    <w:rsid w:val="00CF5877"/>
    <w:rsid w:val="00CF5E07"/>
    <w:rsid w:val="00CF5E86"/>
    <w:rsid w:val="00CF5EE9"/>
    <w:rsid w:val="00CF61A3"/>
    <w:rsid w:val="00CF66DE"/>
    <w:rsid w:val="00CF6848"/>
    <w:rsid w:val="00CF6AF3"/>
    <w:rsid w:val="00CF6C9A"/>
    <w:rsid w:val="00CF74F6"/>
    <w:rsid w:val="00CF76AE"/>
    <w:rsid w:val="00CF7CCF"/>
    <w:rsid w:val="00CF7D8D"/>
    <w:rsid w:val="00CF7DB6"/>
    <w:rsid w:val="00D0033A"/>
    <w:rsid w:val="00D00429"/>
    <w:rsid w:val="00D00522"/>
    <w:rsid w:val="00D00B22"/>
    <w:rsid w:val="00D00D6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403"/>
    <w:rsid w:val="00D0752F"/>
    <w:rsid w:val="00D078A7"/>
    <w:rsid w:val="00D078A9"/>
    <w:rsid w:val="00D078C9"/>
    <w:rsid w:val="00D07BEB"/>
    <w:rsid w:val="00D07D73"/>
    <w:rsid w:val="00D07DCA"/>
    <w:rsid w:val="00D07E5F"/>
    <w:rsid w:val="00D1023A"/>
    <w:rsid w:val="00D10915"/>
    <w:rsid w:val="00D1096F"/>
    <w:rsid w:val="00D10E49"/>
    <w:rsid w:val="00D11672"/>
    <w:rsid w:val="00D11873"/>
    <w:rsid w:val="00D11DD7"/>
    <w:rsid w:val="00D11FAE"/>
    <w:rsid w:val="00D12244"/>
    <w:rsid w:val="00D12371"/>
    <w:rsid w:val="00D12388"/>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AC8"/>
    <w:rsid w:val="00D15D9D"/>
    <w:rsid w:val="00D1624D"/>
    <w:rsid w:val="00D16996"/>
    <w:rsid w:val="00D17869"/>
    <w:rsid w:val="00D1792B"/>
    <w:rsid w:val="00D17F37"/>
    <w:rsid w:val="00D202D3"/>
    <w:rsid w:val="00D20DBB"/>
    <w:rsid w:val="00D20E38"/>
    <w:rsid w:val="00D2171B"/>
    <w:rsid w:val="00D217CE"/>
    <w:rsid w:val="00D21A77"/>
    <w:rsid w:val="00D21E67"/>
    <w:rsid w:val="00D21EFB"/>
    <w:rsid w:val="00D22148"/>
    <w:rsid w:val="00D22166"/>
    <w:rsid w:val="00D22710"/>
    <w:rsid w:val="00D229A3"/>
    <w:rsid w:val="00D22D40"/>
    <w:rsid w:val="00D22ECC"/>
    <w:rsid w:val="00D23077"/>
    <w:rsid w:val="00D2348D"/>
    <w:rsid w:val="00D23556"/>
    <w:rsid w:val="00D239F9"/>
    <w:rsid w:val="00D23A1F"/>
    <w:rsid w:val="00D23B89"/>
    <w:rsid w:val="00D23CE2"/>
    <w:rsid w:val="00D2406F"/>
    <w:rsid w:val="00D24322"/>
    <w:rsid w:val="00D244D5"/>
    <w:rsid w:val="00D2461E"/>
    <w:rsid w:val="00D24D04"/>
    <w:rsid w:val="00D25310"/>
    <w:rsid w:val="00D25866"/>
    <w:rsid w:val="00D25A61"/>
    <w:rsid w:val="00D25E03"/>
    <w:rsid w:val="00D261FB"/>
    <w:rsid w:val="00D26283"/>
    <w:rsid w:val="00D263B5"/>
    <w:rsid w:val="00D26586"/>
    <w:rsid w:val="00D2664C"/>
    <w:rsid w:val="00D2670D"/>
    <w:rsid w:val="00D26B2E"/>
    <w:rsid w:val="00D26DBE"/>
    <w:rsid w:val="00D27351"/>
    <w:rsid w:val="00D279B9"/>
    <w:rsid w:val="00D27AAD"/>
    <w:rsid w:val="00D27B06"/>
    <w:rsid w:val="00D27F01"/>
    <w:rsid w:val="00D30373"/>
    <w:rsid w:val="00D3065D"/>
    <w:rsid w:val="00D309B2"/>
    <w:rsid w:val="00D309D3"/>
    <w:rsid w:val="00D309F8"/>
    <w:rsid w:val="00D30C46"/>
    <w:rsid w:val="00D30FC7"/>
    <w:rsid w:val="00D311D1"/>
    <w:rsid w:val="00D31B9F"/>
    <w:rsid w:val="00D31BEA"/>
    <w:rsid w:val="00D31CEF"/>
    <w:rsid w:val="00D328AE"/>
    <w:rsid w:val="00D33313"/>
    <w:rsid w:val="00D333D7"/>
    <w:rsid w:val="00D33410"/>
    <w:rsid w:val="00D33418"/>
    <w:rsid w:val="00D33458"/>
    <w:rsid w:val="00D33AFC"/>
    <w:rsid w:val="00D33B24"/>
    <w:rsid w:val="00D33C0E"/>
    <w:rsid w:val="00D33F95"/>
    <w:rsid w:val="00D3410B"/>
    <w:rsid w:val="00D344C9"/>
    <w:rsid w:val="00D34A2B"/>
    <w:rsid w:val="00D351CC"/>
    <w:rsid w:val="00D358B2"/>
    <w:rsid w:val="00D359BB"/>
    <w:rsid w:val="00D35E15"/>
    <w:rsid w:val="00D35FCC"/>
    <w:rsid w:val="00D3609F"/>
    <w:rsid w:val="00D3610A"/>
    <w:rsid w:val="00D366C8"/>
    <w:rsid w:val="00D368C6"/>
    <w:rsid w:val="00D36C8E"/>
    <w:rsid w:val="00D36D5A"/>
    <w:rsid w:val="00D374E1"/>
    <w:rsid w:val="00D37A26"/>
    <w:rsid w:val="00D37C2D"/>
    <w:rsid w:val="00D404CE"/>
    <w:rsid w:val="00D40625"/>
    <w:rsid w:val="00D40D79"/>
    <w:rsid w:val="00D40E25"/>
    <w:rsid w:val="00D40E78"/>
    <w:rsid w:val="00D40F0F"/>
    <w:rsid w:val="00D40F5C"/>
    <w:rsid w:val="00D41009"/>
    <w:rsid w:val="00D41901"/>
    <w:rsid w:val="00D41BDD"/>
    <w:rsid w:val="00D41C86"/>
    <w:rsid w:val="00D41CD0"/>
    <w:rsid w:val="00D421D9"/>
    <w:rsid w:val="00D42223"/>
    <w:rsid w:val="00D422E4"/>
    <w:rsid w:val="00D424E7"/>
    <w:rsid w:val="00D426E8"/>
    <w:rsid w:val="00D426FB"/>
    <w:rsid w:val="00D42B71"/>
    <w:rsid w:val="00D42D5D"/>
    <w:rsid w:val="00D43677"/>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47EFB"/>
    <w:rsid w:val="00D5044A"/>
    <w:rsid w:val="00D50C82"/>
    <w:rsid w:val="00D50F95"/>
    <w:rsid w:val="00D5102A"/>
    <w:rsid w:val="00D511FC"/>
    <w:rsid w:val="00D512D1"/>
    <w:rsid w:val="00D513F0"/>
    <w:rsid w:val="00D51565"/>
    <w:rsid w:val="00D51AAF"/>
    <w:rsid w:val="00D51AEE"/>
    <w:rsid w:val="00D51F84"/>
    <w:rsid w:val="00D52200"/>
    <w:rsid w:val="00D52400"/>
    <w:rsid w:val="00D527A2"/>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2F7"/>
    <w:rsid w:val="00D554E6"/>
    <w:rsid w:val="00D55520"/>
    <w:rsid w:val="00D55723"/>
    <w:rsid w:val="00D55B68"/>
    <w:rsid w:val="00D55BD5"/>
    <w:rsid w:val="00D55C37"/>
    <w:rsid w:val="00D56330"/>
    <w:rsid w:val="00D563C2"/>
    <w:rsid w:val="00D56810"/>
    <w:rsid w:val="00D56C31"/>
    <w:rsid w:val="00D56D65"/>
    <w:rsid w:val="00D56FF7"/>
    <w:rsid w:val="00D572B2"/>
    <w:rsid w:val="00D57569"/>
    <w:rsid w:val="00D57AC0"/>
    <w:rsid w:val="00D57C20"/>
    <w:rsid w:val="00D57F0A"/>
    <w:rsid w:val="00D60207"/>
    <w:rsid w:val="00D603C6"/>
    <w:rsid w:val="00D6041F"/>
    <w:rsid w:val="00D606D5"/>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4A6"/>
    <w:rsid w:val="00D645BF"/>
    <w:rsid w:val="00D647F9"/>
    <w:rsid w:val="00D6485C"/>
    <w:rsid w:val="00D64B54"/>
    <w:rsid w:val="00D64CB8"/>
    <w:rsid w:val="00D64CFA"/>
    <w:rsid w:val="00D64D9A"/>
    <w:rsid w:val="00D65404"/>
    <w:rsid w:val="00D6575A"/>
    <w:rsid w:val="00D65837"/>
    <w:rsid w:val="00D65DD6"/>
    <w:rsid w:val="00D66008"/>
    <w:rsid w:val="00D66022"/>
    <w:rsid w:val="00D66065"/>
    <w:rsid w:val="00D66920"/>
    <w:rsid w:val="00D66C66"/>
    <w:rsid w:val="00D66DAA"/>
    <w:rsid w:val="00D671EF"/>
    <w:rsid w:val="00D6745B"/>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26C"/>
    <w:rsid w:val="00D73347"/>
    <w:rsid w:val="00D73438"/>
    <w:rsid w:val="00D7364D"/>
    <w:rsid w:val="00D73A3C"/>
    <w:rsid w:val="00D73A6B"/>
    <w:rsid w:val="00D73DAD"/>
    <w:rsid w:val="00D73E0D"/>
    <w:rsid w:val="00D73E14"/>
    <w:rsid w:val="00D74461"/>
    <w:rsid w:val="00D7470B"/>
    <w:rsid w:val="00D748BA"/>
    <w:rsid w:val="00D74AF7"/>
    <w:rsid w:val="00D7505F"/>
    <w:rsid w:val="00D75199"/>
    <w:rsid w:val="00D75277"/>
    <w:rsid w:val="00D755A0"/>
    <w:rsid w:val="00D75843"/>
    <w:rsid w:val="00D758A1"/>
    <w:rsid w:val="00D75E85"/>
    <w:rsid w:val="00D75F68"/>
    <w:rsid w:val="00D76080"/>
    <w:rsid w:val="00D763F2"/>
    <w:rsid w:val="00D7643F"/>
    <w:rsid w:val="00D7648B"/>
    <w:rsid w:val="00D769F0"/>
    <w:rsid w:val="00D76E0D"/>
    <w:rsid w:val="00D76E83"/>
    <w:rsid w:val="00D771C9"/>
    <w:rsid w:val="00D77E8E"/>
    <w:rsid w:val="00D800A1"/>
    <w:rsid w:val="00D8036A"/>
    <w:rsid w:val="00D80AB8"/>
    <w:rsid w:val="00D80C93"/>
    <w:rsid w:val="00D80CCB"/>
    <w:rsid w:val="00D81303"/>
    <w:rsid w:val="00D81307"/>
    <w:rsid w:val="00D81465"/>
    <w:rsid w:val="00D8153F"/>
    <w:rsid w:val="00D817FD"/>
    <w:rsid w:val="00D820F3"/>
    <w:rsid w:val="00D82733"/>
    <w:rsid w:val="00D829AC"/>
    <w:rsid w:val="00D82AA1"/>
    <w:rsid w:val="00D83401"/>
    <w:rsid w:val="00D83658"/>
    <w:rsid w:val="00D83850"/>
    <w:rsid w:val="00D84268"/>
    <w:rsid w:val="00D84278"/>
    <w:rsid w:val="00D846C5"/>
    <w:rsid w:val="00D847C6"/>
    <w:rsid w:val="00D84EF8"/>
    <w:rsid w:val="00D84F16"/>
    <w:rsid w:val="00D856F7"/>
    <w:rsid w:val="00D86095"/>
    <w:rsid w:val="00D86ACF"/>
    <w:rsid w:val="00D86B37"/>
    <w:rsid w:val="00D86EF6"/>
    <w:rsid w:val="00D87154"/>
    <w:rsid w:val="00D871CF"/>
    <w:rsid w:val="00D8778A"/>
    <w:rsid w:val="00D87C64"/>
    <w:rsid w:val="00D91009"/>
    <w:rsid w:val="00D9120D"/>
    <w:rsid w:val="00D9126A"/>
    <w:rsid w:val="00D912DD"/>
    <w:rsid w:val="00D912DF"/>
    <w:rsid w:val="00D9134B"/>
    <w:rsid w:val="00D91479"/>
    <w:rsid w:val="00D9151F"/>
    <w:rsid w:val="00D919F7"/>
    <w:rsid w:val="00D91AEE"/>
    <w:rsid w:val="00D91F8C"/>
    <w:rsid w:val="00D92134"/>
    <w:rsid w:val="00D92265"/>
    <w:rsid w:val="00D9230B"/>
    <w:rsid w:val="00D92465"/>
    <w:rsid w:val="00D9254D"/>
    <w:rsid w:val="00D92558"/>
    <w:rsid w:val="00D92633"/>
    <w:rsid w:val="00D92A50"/>
    <w:rsid w:val="00D92CBC"/>
    <w:rsid w:val="00D92FD3"/>
    <w:rsid w:val="00D931F2"/>
    <w:rsid w:val="00D933B9"/>
    <w:rsid w:val="00D938C1"/>
    <w:rsid w:val="00D938CE"/>
    <w:rsid w:val="00D93EF4"/>
    <w:rsid w:val="00D9475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4BD"/>
    <w:rsid w:val="00DA16DB"/>
    <w:rsid w:val="00DA1D80"/>
    <w:rsid w:val="00DA2046"/>
    <w:rsid w:val="00DA2185"/>
    <w:rsid w:val="00DA21B3"/>
    <w:rsid w:val="00DA23D2"/>
    <w:rsid w:val="00DA29C4"/>
    <w:rsid w:val="00DA2CE4"/>
    <w:rsid w:val="00DA2D90"/>
    <w:rsid w:val="00DA399E"/>
    <w:rsid w:val="00DA3A26"/>
    <w:rsid w:val="00DA3B0F"/>
    <w:rsid w:val="00DA3B43"/>
    <w:rsid w:val="00DA3F00"/>
    <w:rsid w:val="00DA41B0"/>
    <w:rsid w:val="00DA42CF"/>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414"/>
    <w:rsid w:val="00DB0564"/>
    <w:rsid w:val="00DB0568"/>
    <w:rsid w:val="00DB0D5D"/>
    <w:rsid w:val="00DB0F35"/>
    <w:rsid w:val="00DB1539"/>
    <w:rsid w:val="00DB1E7D"/>
    <w:rsid w:val="00DB1F98"/>
    <w:rsid w:val="00DB2557"/>
    <w:rsid w:val="00DB27E1"/>
    <w:rsid w:val="00DB28A5"/>
    <w:rsid w:val="00DB2CDC"/>
    <w:rsid w:val="00DB2CF9"/>
    <w:rsid w:val="00DB2E68"/>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36"/>
    <w:rsid w:val="00DB5799"/>
    <w:rsid w:val="00DB5A21"/>
    <w:rsid w:val="00DB5DEB"/>
    <w:rsid w:val="00DB5E6D"/>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C58"/>
    <w:rsid w:val="00DC4D82"/>
    <w:rsid w:val="00DC5015"/>
    <w:rsid w:val="00DC522F"/>
    <w:rsid w:val="00DC588E"/>
    <w:rsid w:val="00DC5E7A"/>
    <w:rsid w:val="00DC6035"/>
    <w:rsid w:val="00DC65D8"/>
    <w:rsid w:val="00DC6870"/>
    <w:rsid w:val="00DC69C6"/>
    <w:rsid w:val="00DC6A94"/>
    <w:rsid w:val="00DC6B26"/>
    <w:rsid w:val="00DC6E29"/>
    <w:rsid w:val="00DC7680"/>
    <w:rsid w:val="00DC7890"/>
    <w:rsid w:val="00DC79A3"/>
    <w:rsid w:val="00DC7DB7"/>
    <w:rsid w:val="00DC7E92"/>
    <w:rsid w:val="00DD02C4"/>
    <w:rsid w:val="00DD044C"/>
    <w:rsid w:val="00DD09C5"/>
    <w:rsid w:val="00DD128A"/>
    <w:rsid w:val="00DD12B1"/>
    <w:rsid w:val="00DD12B5"/>
    <w:rsid w:val="00DD157A"/>
    <w:rsid w:val="00DD18BD"/>
    <w:rsid w:val="00DD1947"/>
    <w:rsid w:val="00DD1E75"/>
    <w:rsid w:val="00DD1ED7"/>
    <w:rsid w:val="00DD2080"/>
    <w:rsid w:val="00DD242B"/>
    <w:rsid w:val="00DD2C34"/>
    <w:rsid w:val="00DD2DEB"/>
    <w:rsid w:val="00DD2FE5"/>
    <w:rsid w:val="00DD32DF"/>
    <w:rsid w:val="00DD33DF"/>
    <w:rsid w:val="00DD3401"/>
    <w:rsid w:val="00DD3430"/>
    <w:rsid w:val="00DD3480"/>
    <w:rsid w:val="00DD3565"/>
    <w:rsid w:val="00DD35CE"/>
    <w:rsid w:val="00DD3733"/>
    <w:rsid w:val="00DD3A40"/>
    <w:rsid w:val="00DD430B"/>
    <w:rsid w:val="00DD49D3"/>
    <w:rsid w:val="00DD4BE4"/>
    <w:rsid w:val="00DD4D87"/>
    <w:rsid w:val="00DD59AB"/>
    <w:rsid w:val="00DD5FFE"/>
    <w:rsid w:val="00DD6287"/>
    <w:rsid w:val="00DD6396"/>
    <w:rsid w:val="00DD67F1"/>
    <w:rsid w:val="00DD6C70"/>
    <w:rsid w:val="00DD6DA2"/>
    <w:rsid w:val="00DD761C"/>
    <w:rsid w:val="00DD790F"/>
    <w:rsid w:val="00DD7A87"/>
    <w:rsid w:val="00DE0171"/>
    <w:rsid w:val="00DE0333"/>
    <w:rsid w:val="00DE033C"/>
    <w:rsid w:val="00DE0558"/>
    <w:rsid w:val="00DE067E"/>
    <w:rsid w:val="00DE088E"/>
    <w:rsid w:val="00DE0B96"/>
    <w:rsid w:val="00DE128B"/>
    <w:rsid w:val="00DE14E8"/>
    <w:rsid w:val="00DE1799"/>
    <w:rsid w:val="00DE1EEF"/>
    <w:rsid w:val="00DE202E"/>
    <w:rsid w:val="00DE21CF"/>
    <w:rsid w:val="00DE279F"/>
    <w:rsid w:val="00DE2D4B"/>
    <w:rsid w:val="00DE34C6"/>
    <w:rsid w:val="00DE37FB"/>
    <w:rsid w:val="00DE3E52"/>
    <w:rsid w:val="00DE3E7C"/>
    <w:rsid w:val="00DE42A3"/>
    <w:rsid w:val="00DE464E"/>
    <w:rsid w:val="00DE4664"/>
    <w:rsid w:val="00DE4811"/>
    <w:rsid w:val="00DE4B0C"/>
    <w:rsid w:val="00DE5780"/>
    <w:rsid w:val="00DE5AF8"/>
    <w:rsid w:val="00DE5F62"/>
    <w:rsid w:val="00DE5FDA"/>
    <w:rsid w:val="00DE61AA"/>
    <w:rsid w:val="00DE67AE"/>
    <w:rsid w:val="00DE72D7"/>
    <w:rsid w:val="00DE73EF"/>
    <w:rsid w:val="00DE752E"/>
    <w:rsid w:val="00DE7793"/>
    <w:rsid w:val="00DE7B51"/>
    <w:rsid w:val="00DE7D03"/>
    <w:rsid w:val="00DE7F45"/>
    <w:rsid w:val="00DF02EC"/>
    <w:rsid w:val="00DF047B"/>
    <w:rsid w:val="00DF06EB"/>
    <w:rsid w:val="00DF0820"/>
    <w:rsid w:val="00DF0D33"/>
    <w:rsid w:val="00DF0E63"/>
    <w:rsid w:val="00DF0FEC"/>
    <w:rsid w:val="00DF12DC"/>
    <w:rsid w:val="00DF1300"/>
    <w:rsid w:val="00DF1630"/>
    <w:rsid w:val="00DF18AA"/>
    <w:rsid w:val="00DF1E93"/>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04"/>
    <w:rsid w:val="00DF6281"/>
    <w:rsid w:val="00DF6531"/>
    <w:rsid w:val="00DF662F"/>
    <w:rsid w:val="00DF67E8"/>
    <w:rsid w:val="00DF6824"/>
    <w:rsid w:val="00DF69A9"/>
    <w:rsid w:val="00DF6A7B"/>
    <w:rsid w:val="00DF6A83"/>
    <w:rsid w:val="00DF7226"/>
    <w:rsid w:val="00DF7BC3"/>
    <w:rsid w:val="00E00368"/>
    <w:rsid w:val="00E005F5"/>
    <w:rsid w:val="00E00A07"/>
    <w:rsid w:val="00E00A92"/>
    <w:rsid w:val="00E01395"/>
    <w:rsid w:val="00E015A5"/>
    <w:rsid w:val="00E0184C"/>
    <w:rsid w:val="00E019EA"/>
    <w:rsid w:val="00E01A5C"/>
    <w:rsid w:val="00E0250A"/>
    <w:rsid w:val="00E027C3"/>
    <w:rsid w:val="00E028E6"/>
    <w:rsid w:val="00E02938"/>
    <w:rsid w:val="00E02C20"/>
    <w:rsid w:val="00E0324B"/>
    <w:rsid w:val="00E0345F"/>
    <w:rsid w:val="00E03713"/>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A56"/>
    <w:rsid w:val="00E07E45"/>
    <w:rsid w:val="00E1007C"/>
    <w:rsid w:val="00E100DC"/>
    <w:rsid w:val="00E101F9"/>
    <w:rsid w:val="00E102BD"/>
    <w:rsid w:val="00E1039D"/>
    <w:rsid w:val="00E103F8"/>
    <w:rsid w:val="00E104ED"/>
    <w:rsid w:val="00E10504"/>
    <w:rsid w:val="00E10631"/>
    <w:rsid w:val="00E10DA9"/>
    <w:rsid w:val="00E111FC"/>
    <w:rsid w:val="00E115C5"/>
    <w:rsid w:val="00E118A5"/>
    <w:rsid w:val="00E11EB8"/>
    <w:rsid w:val="00E1273A"/>
    <w:rsid w:val="00E12933"/>
    <w:rsid w:val="00E12A5A"/>
    <w:rsid w:val="00E12AF0"/>
    <w:rsid w:val="00E12E80"/>
    <w:rsid w:val="00E12FA8"/>
    <w:rsid w:val="00E13342"/>
    <w:rsid w:val="00E136AE"/>
    <w:rsid w:val="00E139D0"/>
    <w:rsid w:val="00E13A68"/>
    <w:rsid w:val="00E14126"/>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1EC"/>
    <w:rsid w:val="00E214FB"/>
    <w:rsid w:val="00E21587"/>
    <w:rsid w:val="00E216A5"/>
    <w:rsid w:val="00E21C5A"/>
    <w:rsid w:val="00E222C6"/>
    <w:rsid w:val="00E2234C"/>
    <w:rsid w:val="00E224C9"/>
    <w:rsid w:val="00E22625"/>
    <w:rsid w:val="00E229F7"/>
    <w:rsid w:val="00E22A10"/>
    <w:rsid w:val="00E22BF5"/>
    <w:rsid w:val="00E22E2F"/>
    <w:rsid w:val="00E22EE3"/>
    <w:rsid w:val="00E23224"/>
    <w:rsid w:val="00E23253"/>
    <w:rsid w:val="00E23467"/>
    <w:rsid w:val="00E237D3"/>
    <w:rsid w:val="00E23851"/>
    <w:rsid w:val="00E23ACC"/>
    <w:rsid w:val="00E23ADB"/>
    <w:rsid w:val="00E24553"/>
    <w:rsid w:val="00E24C83"/>
    <w:rsid w:val="00E24D56"/>
    <w:rsid w:val="00E24ECA"/>
    <w:rsid w:val="00E250DB"/>
    <w:rsid w:val="00E25328"/>
    <w:rsid w:val="00E25334"/>
    <w:rsid w:val="00E2560F"/>
    <w:rsid w:val="00E25F1D"/>
    <w:rsid w:val="00E25F49"/>
    <w:rsid w:val="00E2617B"/>
    <w:rsid w:val="00E26224"/>
    <w:rsid w:val="00E2681C"/>
    <w:rsid w:val="00E2690E"/>
    <w:rsid w:val="00E26DD2"/>
    <w:rsid w:val="00E272E4"/>
    <w:rsid w:val="00E272FE"/>
    <w:rsid w:val="00E2754D"/>
    <w:rsid w:val="00E278B0"/>
    <w:rsid w:val="00E30063"/>
    <w:rsid w:val="00E30517"/>
    <w:rsid w:val="00E3070A"/>
    <w:rsid w:val="00E30A72"/>
    <w:rsid w:val="00E30DB2"/>
    <w:rsid w:val="00E31327"/>
    <w:rsid w:val="00E31506"/>
    <w:rsid w:val="00E3157A"/>
    <w:rsid w:val="00E31586"/>
    <w:rsid w:val="00E31AAC"/>
    <w:rsid w:val="00E3200D"/>
    <w:rsid w:val="00E32627"/>
    <w:rsid w:val="00E32E0E"/>
    <w:rsid w:val="00E3305B"/>
    <w:rsid w:val="00E33506"/>
    <w:rsid w:val="00E335B1"/>
    <w:rsid w:val="00E33802"/>
    <w:rsid w:val="00E33814"/>
    <w:rsid w:val="00E33901"/>
    <w:rsid w:val="00E33907"/>
    <w:rsid w:val="00E339C6"/>
    <w:rsid w:val="00E33B8C"/>
    <w:rsid w:val="00E33D92"/>
    <w:rsid w:val="00E33E4D"/>
    <w:rsid w:val="00E343FB"/>
    <w:rsid w:val="00E34D6F"/>
    <w:rsid w:val="00E34DC6"/>
    <w:rsid w:val="00E34F08"/>
    <w:rsid w:val="00E35029"/>
    <w:rsid w:val="00E352AB"/>
    <w:rsid w:val="00E35698"/>
    <w:rsid w:val="00E35AC2"/>
    <w:rsid w:val="00E35CDC"/>
    <w:rsid w:val="00E35EB9"/>
    <w:rsid w:val="00E35F47"/>
    <w:rsid w:val="00E3610B"/>
    <w:rsid w:val="00E363B9"/>
    <w:rsid w:val="00E363FC"/>
    <w:rsid w:val="00E36400"/>
    <w:rsid w:val="00E36AED"/>
    <w:rsid w:val="00E3702B"/>
    <w:rsid w:val="00E377BF"/>
    <w:rsid w:val="00E37C25"/>
    <w:rsid w:val="00E40362"/>
    <w:rsid w:val="00E4038C"/>
    <w:rsid w:val="00E4046C"/>
    <w:rsid w:val="00E40A63"/>
    <w:rsid w:val="00E40D13"/>
    <w:rsid w:val="00E41834"/>
    <w:rsid w:val="00E41BAC"/>
    <w:rsid w:val="00E41DCC"/>
    <w:rsid w:val="00E41FEC"/>
    <w:rsid w:val="00E42532"/>
    <w:rsid w:val="00E42D71"/>
    <w:rsid w:val="00E432AE"/>
    <w:rsid w:val="00E434D2"/>
    <w:rsid w:val="00E4356E"/>
    <w:rsid w:val="00E4366B"/>
    <w:rsid w:val="00E43F1E"/>
    <w:rsid w:val="00E4411D"/>
    <w:rsid w:val="00E4466A"/>
    <w:rsid w:val="00E44672"/>
    <w:rsid w:val="00E447D5"/>
    <w:rsid w:val="00E45041"/>
    <w:rsid w:val="00E450D8"/>
    <w:rsid w:val="00E452D0"/>
    <w:rsid w:val="00E45A9D"/>
    <w:rsid w:val="00E4607D"/>
    <w:rsid w:val="00E460A1"/>
    <w:rsid w:val="00E463EB"/>
    <w:rsid w:val="00E46CC9"/>
    <w:rsid w:val="00E47D5F"/>
    <w:rsid w:val="00E47D96"/>
    <w:rsid w:val="00E47DF6"/>
    <w:rsid w:val="00E50344"/>
    <w:rsid w:val="00E508D6"/>
    <w:rsid w:val="00E515A3"/>
    <w:rsid w:val="00E51E23"/>
    <w:rsid w:val="00E523F3"/>
    <w:rsid w:val="00E52A15"/>
    <w:rsid w:val="00E52F76"/>
    <w:rsid w:val="00E5315C"/>
    <w:rsid w:val="00E534EA"/>
    <w:rsid w:val="00E538E0"/>
    <w:rsid w:val="00E53F95"/>
    <w:rsid w:val="00E547DF"/>
    <w:rsid w:val="00E54D33"/>
    <w:rsid w:val="00E5501B"/>
    <w:rsid w:val="00E55641"/>
    <w:rsid w:val="00E5635D"/>
    <w:rsid w:val="00E564C1"/>
    <w:rsid w:val="00E56898"/>
    <w:rsid w:val="00E56D97"/>
    <w:rsid w:val="00E56E3C"/>
    <w:rsid w:val="00E56F3C"/>
    <w:rsid w:val="00E5711F"/>
    <w:rsid w:val="00E571C0"/>
    <w:rsid w:val="00E57456"/>
    <w:rsid w:val="00E57623"/>
    <w:rsid w:val="00E57634"/>
    <w:rsid w:val="00E578FB"/>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714"/>
    <w:rsid w:val="00E62AF2"/>
    <w:rsid w:val="00E62C6B"/>
    <w:rsid w:val="00E62DDA"/>
    <w:rsid w:val="00E630F7"/>
    <w:rsid w:val="00E632B1"/>
    <w:rsid w:val="00E63A8C"/>
    <w:rsid w:val="00E63C84"/>
    <w:rsid w:val="00E643D0"/>
    <w:rsid w:val="00E64763"/>
    <w:rsid w:val="00E647DC"/>
    <w:rsid w:val="00E6484F"/>
    <w:rsid w:val="00E64B4F"/>
    <w:rsid w:val="00E65A35"/>
    <w:rsid w:val="00E65BB5"/>
    <w:rsid w:val="00E65E6B"/>
    <w:rsid w:val="00E6640D"/>
    <w:rsid w:val="00E6666C"/>
    <w:rsid w:val="00E666A1"/>
    <w:rsid w:val="00E6682F"/>
    <w:rsid w:val="00E6713B"/>
    <w:rsid w:val="00E67631"/>
    <w:rsid w:val="00E67E33"/>
    <w:rsid w:val="00E7041A"/>
    <w:rsid w:val="00E705E5"/>
    <w:rsid w:val="00E709DC"/>
    <w:rsid w:val="00E70B0C"/>
    <w:rsid w:val="00E70B8A"/>
    <w:rsid w:val="00E70F5A"/>
    <w:rsid w:val="00E71166"/>
    <w:rsid w:val="00E71952"/>
    <w:rsid w:val="00E71DF1"/>
    <w:rsid w:val="00E71EDB"/>
    <w:rsid w:val="00E72324"/>
    <w:rsid w:val="00E723D3"/>
    <w:rsid w:val="00E723E6"/>
    <w:rsid w:val="00E7242A"/>
    <w:rsid w:val="00E72737"/>
    <w:rsid w:val="00E72ABE"/>
    <w:rsid w:val="00E72BCC"/>
    <w:rsid w:val="00E730DB"/>
    <w:rsid w:val="00E739A7"/>
    <w:rsid w:val="00E73E01"/>
    <w:rsid w:val="00E7419A"/>
    <w:rsid w:val="00E7449A"/>
    <w:rsid w:val="00E744BD"/>
    <w:rsid w:val="00E74776"/>
    <w:rsid w:val="00E747C2"/>
    <w:rsid w:val="00E74B5A"/>
    <w:rsid w:val="00E7524F"/>
    <w:rsid w:val="00E7556D"/>
    <w:rsid w:val="00E755EA"/>
    <w:rsid w:val="00E75693"/>
    <w:rsid w:val="00E756FB"/>
    <w:rsid w:val="00E75918"/>
    <w:rsid w:val="00E76141"/>
    <w:rsid w:val="00E76270"/>
    <w:rsid w:val="00E7698B"/>
    <w:rsid w:val="00E76B45"/>
    <w:rsid w:val="00E77040"/>
    <w:rsid w:val="00E772C4"/>
    <w:rsid w:val="00E77484"/>
    <w:rsid w:val="00E77655"/>
    <w:rsid w:val="00E77B90"/>
    <w:rsid w:val="00E8016D"/>
    <w:rsid w:val="00E80827"/>
    <w:rsid w:val="00E80BAF"/>
    <w:rsid w:val="00E810EC"/>
    <w:rsid w:val="00E8112C"/>
    <w:rsid w:val="00E81421"/>
    <w:rsid w:val="00E81587"/>
    <w:rsid w:val="00E826C8"/>
    <w:rsid w:val="00E82819"/>
    <w:rsid w:val="00E82EE0"/>
    <w:rsid w:val="00E82FEC"/>
    <w:rsid w:val="00E83280"/>
    <w:rsid w:val="00E8328B"/>
    <w:rsid w:val="00E832C9"/>
    <w:rsid w:val="00E8344D"/>
    <w:rsid w:val="00E83469"/>
    <w:rsid w:val="00E8390E"/>
    <w:rsid w:val="00E8399F"/>
    <w:rsid w:val="00E839A9"/>
    <w:rsid w:val="00E83E6E"/>
    <w:rsid w:val="00E8412F"/>
    <w:rsid w:val="00E843EF"/>
    <w:rsid w:val="00E84661"/>
    <w:rsid w:val="00E84934"/>
    <w:rsid w:val="00E84A69"/>
    <w:rsid w:val="00E84BAF"/>
    <w:rsid w:val="00E853AC"/>
    <w:rsid w:val="00E85483"/>
    <w:rsid w:val="00E8572C"/>
    <w:rsid w:val="00E85987"/>
    <w:rsid w:val="00E86009"/>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696"/>
    <w:rsid w:val="00E918D3"/>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C4F"/>
    <w:rsid w:val="00E95754"/>
    <w:rsid w:val="00E959A9"/>
    <w:rsid w:val="00E95A9A"/>
    <w:rsid w:val="00E9627E"/>
    <w:rsid w:val="00E96637"/>
    <w:rsid w:val="00E967E9"/>
    <w:rsid w:val="00E968E1"/>
    <w:rsid w:val="00E96C84"/>
    <w:rsid w:val="00E96D5A"/>
    <w:rsid w:val="00E96F40"/>
    <w:rsid w:val="00E96FBC"/>
    <w:rsid w:val="00E9702D"/>
    <w:rsid w:val="00E97101"/>
    <w:rsid w:val="00E97353"/>
    <w:rsid w:val="00E9738B"/>
    <w:rsid w:val="00E973D8"/>
    <w:rsid w:val="00E97410"/>
    <w:rsid w:val="00E97507"/>
    <w:rsid w:val="00E97512"/>
    <w:rsid w:val="00EA0281"/>
    <w:rsid w:val="00EA0BD3"/>
    <w:rsid w:val="00EA0BFA"/>
    <w:rsid w:val="00EA0E05"/>
    <w:rsid w:val="00EA0E10"/>
    <w:rsid w:val="00EA0EAB"/>
    <w:rsid w:val="00EA179E"/>
    <w:rsid w:val="00EA1B4A"/>
    <w:rsid w:val="00EA1CC1"/>
    <w:rsid w:val="00EA200E"/>
    <w:rsid w:val="00EA2271"/>
    <w:rsid w:val="00EA2406"/>
    <w:rsid w:val="00EA2585"/>
    <w:rsid w:val="00EA2730"/>
    <w:rsid w:val="00EA35CC"/>
    <w:rsid w:val="00EA3641"/>
    <w:rsid w:val="00EA392D"/>
    <w:rsid w:val="00EA39C0"/>
    <w:rsid w:val="00EA3D67"/>
    <w:rsid w:val="00EA3DB9"/>
    <w:rsid w:val="00EA475F"/>
    <w:rsid w:val="00EA4A36"/>
    <w:rsid w:val="00EA5029"/>
    <w:rsid w:val="00EA5335"/>
    <w:rsid w:val="00EA630B"/>
    <w:rsid w:val="00EA6E29"/>
    <w:rsid w:val="00EA6FAE"/>
    <w:rsid w:val="00EA7344"/>
    <w:rsid w:val="00EA7584"/>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063"/>
    <w:rsid w:val="00EB410B"/>
    <w:rsid w:val="00EB4128"/>
    <w:rsid w:val="00EB4232"/>
    <w:rsid w:val="00EB42C8"/>
    <w:rsid w:val="00EB461B"/>
    <w:rsid w:val="00EB4CC5"/>
    <w:rsid w:val="00EB5238"/>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73E"/>
    <w:rsid w:val="00EC0E69"/>
    <w:rsid w:val="00EC183D"/>
    <w:rsid w:val="00EC1D83"/>
    <w:rsid w:val="00EC1FE9"/>
    <w:rsid w:val="00EC228D"/>
    <w:rsid w:val="00EC28CD"/>
    <w:rsid w:val="00EC2915"/>
    <w:rsid w:val="00EC2C50"/>
    <w:rsid w:val="00EC2CD8"/>
    <w:rsid w:val="00EC2E21"/>
    <w:rsid w:val="00EC30FE"/>
    <w:rsid w:val="00EC3438"/>
    <w:rsid w:val="00EC3500"/>
    <w:rsid w:val="00EC36DD"/>
    <w:rsid w:val="00EC38BC"/>
    <w:rsid w:val="00EC3E31"/>
    <w:rsid w:val="00EC3E81"/>
    <w:rsid w:val="00EC3EC0"/>
    <w:rsid w:val="00EC3EC8"/>
    <w:rsid w:val="00EC3FED"/>
    <w:rsid w:val="00EC44E7"/>
    <w:rsid w:val="00EC481E"/>
    <w:rsid w:val="00EC4D77"/>
    <w:rsid w:val="00EC4D7B"/>
    <w:rsid w:val="00EC4E2E"/>
    <w:rsid w:val="00EC555C"/>
    <w:rsid w:val="00EC60A1"/>
    <w:rsid w:val="00EC614D"/>
    <w:rsid w:val="00EC6337"/>
    <w:rsid w:val="00EC6A94"/>
    <w:rsid w:val="00EC6AF9"/>
    <w:rsid w:val="00EC6D31"/>
    <w:rsid w:val="00EC6D68"/>
    <w:rsid w:val="00EC6D82"/>
    <w:rsid w:val="00EC7183"/>
    <w:rsid w:val="00EC71AB"/>
    <w:rsid w:val="00EC77C5"/>
    <w:rsid w:val="00EC7EE8"/>
    <w:rsid w:val="00EC7F47"/>
    <w:rsid w:val="00ED0DE8"/>
    <w:rsid w:val="00ED0EB9"/>
    <w:rsid w:val="00ED1004"/>
    <w:rsid w:val="00ED10E5"/>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11F"/>
    <w:rsid w:val="00ED4834"/>
    <w:rsid w:val="00ED4DDF"/>
    <w:rsid w:val="00ED4E3C"/>
    <w:rsid w:val="00ED4EEA"/>
    <w:rsid w:val="00ED5122"/>
    <w:rsid w:val="00ED54F7"/>
    <w:rsid w:val="00ED5580"/>
    <w:rsid w:val="00ED58F2"/>
    <w:rsid w:val="00ED6100"/>
    <w:rsid w:val="00ED6534"/>
    <w:rsid w:val="00ED68CC"/>
    <w:rsid w:val="00ED6E4E"/>
    <w:rsid w:val="00ED742A"/>
    <w:rsid w:val="00ED7BAF"/>
    <w:rsid w:val="00EE0318"/>
    <w:rsid w:val="00EE08BC"/>
    <w:rsid w:val="00EE0935"/>
    <w:rsid w:val="00EE09EA"/>
    <w:rsid w:val="00EE09F4"/>
    <w:rsid w:val="00EE0A49"/>
    <w:rsid w:val="00EE0C6F"/>
    <w:rsid w:val="00EE15CA"/>
    <w:rsid w:val="00EE18BB"/>
    <w:rsid w:val="00EE1938"/>
    <w:rsid w:val="00EE1CDA"/>
    <w:rsid w:val="00EE24B7"/>
    <w:rsid w:val="00EE286B"/>
    <w:rsid w:val="00EE2AAB"/>
    <w:rsid w:val="00EE3196"/>
    <w:rsid w:val="00EE3203"/>
    <w:rsid w:val="00EE3318"/>
    <w:rsid w:val="00EE3358"/>
    <w:rsid w:val="00EE33A6"/>
    <w:rsid w:val="00EE3DCB"/>
    <w:rsid w:val="00EE4144"/>
    <w:rsid w:val="00EE4825"/>
    <w:rsid w:val="00EE4E90"/>
    <w:rsid w:val="00EE4FCF"/>
    <w:rsid w:val="00EE5112"/>
    <w:rsid w:val="00EE53BE"/>
    <w:rsid w:val="00EE58F6"/>
    <w:rsid w:val="00EE6146"/>
    <w:rsid w:val="00EE62B4"/>
    <w:rsid w:val="00EE636D"/>
    <w:rsid w:val="00EE6678"/>
    <w:rsid w:val="00EE66B1"/>
    <w:rsid w:val="00EE687C"/>
    <w:rsid w:val="00EE6E2B"/>
    <w:rsid w:val="00EE6F29"/>
    <w:rsid w:val="00EE7047"/>
    <w:rsid w:val="00EE752C"/>
    <w:rsid w:val="00EE79A4"/>
    <w:rsid w:val="00EE7D0B"/>
    <w:rsid w:val="00EE7D91"/>
    <w:rsid w:val="00EE7ECE"/>
    <w:rsid w:val="00EE7F2E"/>
    <w:rsid w:val="00EF0477"/>
    <w:rsid w:val="00EF082A"/>
    <w:rsid w:val="00EF08DF"/>
    <w:rsid w:val="00EF0CD6"/>
    <w:rsid w:val="00EF0DEF"/>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B3B"/>
    <w:rsid w:val="00EF4F32"/>
    <w:rsid w:val="00EF5326"/>
    <w:rsid w:val="00EF57F7"/>
    <w:rsid w:val="00EF5861"/>
    <w:rsid w:val="00EF61C2"/>
    <w:rsid w:val="00EF6EF5"/>
    <w:rsid w:val="00EF6F6C"/>
    <w:rsid w:val="00EF71EE"/>
    <w:rsid w:val="00EF7296"/>
    <w:rsid w:val="00EF77C3"/>
    <w:rsid w:val="00EF785E"/>
    <w:rsid w:val="00EF7878"/>
    <w:rsid w:val="00EF7F14"/>
    <w:rsid w:val="00EF7F47"/>
    <w:rsid w:val="00F000F0"/>
    <w:rsid w:val="00F00180"/>
    <w:rsid w:val="00F004AB"/>
    <w:rsid w:val="00F006E4"/>
    <w:rsid w:val="00F00923"/>
    <w:rsid w:val="00F00C33"/>
    <w:rsid w:val="00F00C9D"/>
    <w:rsid w:val="00F00FF1"/>
    <w:rsid w:val="00F0109A"/>
    <w:rsid w:val="00F010A2"/>
    <w:rsid w:val="00F01254"/>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9DF"/>
    <w:rsid w:val="00F06F02"/>
    <w:rsid w:val="00F0770D"/>
    <w:rsid w:val="00F07D39"/>
    <w:rsid w:val="00F07DE7"/>
    <w:rsid w:val="00F10437"/>
    <w:rsid w:val="00F10465"/>
    <w:rsid w:val="00F10780"/>
    <w:rsid w:val="00F10864"/>
    <w:rsid w:val="00F10B71"/>
    <w:rsid w:val="00F10EB6"/>
    <w:rsid w:val="00F1165E"/>
    <w:rsid w:val="00F119F5"/>
    <w:rsid w:val="00F11CF5"/>
    <w:rsid w:val="00F11EDE"/>
    <w:rsid w:val="00F12909"/>
    <w:rsid w:val="00F12B3D"/>
    <w:rsid w:val="00F12D5D"/>
    <w:rsid w:val="00F13242"/>
    <w:rsid w:val="00F135BB"/>
    <w:rsid w:val="00F1403E"/>
    <w:rsid w:val="00F140FE"/>
    <w:rsid w:val="00F1415B"/>
    <w:rsid w:val="00F1418D"/>
    <w:rsid w:val="00F14300"/>
    <w:rsid w:val="00F14FB4"/>
    <w:rsid w:val="00F15CF3"/>
    <w:rsid w:val="00F15F83"/>
    <w:rsid w:val="00F16507"/>
    <w:rsid w:val="00F165FF"/>
    <w:rsid w:val="00F16BB1"/>
    <w:rsid w:val="00F16FD5"/>
    <w:rsid w:val="00F1711D"/>
    <w:rsid w:val="00F171EF"/>
    <w:rsid w:val="00F17A6B"/>
    <w:rsid w:val="00F17A8F"/>
    <w:rsid w:val="00F17D56"/>
    <w:rsid w:val="00F20046"/>
    <w:rsid w:val="00F20192"/>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2C8"/>
    <w:rsid w:val="00F24397"/>
    <w:rsid w:val="00F2456B"/>
    <w:rsid w:val="00F2457D"/>
    <w:rsid w:val="00F24A57"/>
    <w:rsid w:val="00F24A9F"/>
    <w:rsid w:val="00F24D96"/>
    <w:rsid w:val="00F24E67"/>
    <w:rsid w:val="00F24F4D"/>
    <w:rsid w:val="00F24FA0"/>
    <w:rsid w:val="00F25088"/>
    <w:rsid w:val="00F2513E"/>
    <w:rsid w:val="00F25157"/>
    <w:rsid w:val="00F25583"/>
    <w:rsid w:val="00F255A5"/>
    <w:rsid w:val="00F25CC5"/>
    <w:rsid w:val="00F25EB4"/>
    <w:rsid w:val="00F25F62"/>
    <w:rsid w:val="00F2617C"/>
    <w:rsid w:val="00F2643A"/>
    <w:rsid w:val="00F26886"/>
    <w:rsid w:val="00F2699C"/>
    <w:rsid w:val="00F27000"/>
    <w:rsid w:val="00F27757"/>
    <w:rsid w:val="00F27758"/>
    <w:rsid w:val="00F27776"/>
    <w:rsid w:val="00F27E0C"/>
    <w:rsid w:val="00F27F00"/>
    <w:rsid w:val="00F3002F"/>
    <w:rsid w:val="00F30353"/>
    <w:rsid w:val="00F3075E"/>
    <w:rsid w:val="00F308C0"/>
    <w:rsid w:val="00F31831"/>
    <w:rsid w:val="00F318E7"/>
    <w:rsid w:val="00F31F17"/>
    <w:rsid w:val="00F3236F"/>
    <w:rsid w:val="00F32374"/>
    <w:rsid w:val="00F3239A"/>
    <w:rsid w:val="00F32DD1"/>
    <w:rsid w:val="00F32F0E"/>
    <w:rsid w:val="00F32F3E"/>
    <w:rsid w:val="00F3333E"/>
    <w:rsid w:val="00F3338F"/>
    <w:rsid w:val="00F333F7"/>
    <w:rsid w:val="00F3383E"/>
    <w:rsid w:val="00F33DF0"/>
    <w:rsid w:val="00F34286"/>
    <w:rsid w:val="00F342E5"/>
    <w:rsid w:val="00F346BC"/>
    <w:rsid w:val="00F348A3"/>
    <w:rsid w:val="00F34981"/>
    <w:rsid w:val="00F34F52"/>
    <w:rsid w:val="00F351DE"/>
    <w:rsid w:val="00F3521B"/>
    <w:rsid w:val="00F35561"/>
    <w:rsid w:val="00F35865"/>
    <w:rsid w:val="00F35E92"/>
    <w:rsid w:val="00F360BA"/>
    <w:rsid w:val="00F366CE"/>
    <w:rsid w:val="00F369FF"/>
    <w:rsid w:val="00F37143"/>
    <w:rsid w:val="00F377A2"/>
    <w:rsid w:val="00F37922"/>
    <w:rsid w:val="00F37AEF"/>
    <w:rsid w:val="00F37C39"/>
    <w:rsid w:val="00F37DC6"/>
    <w:rsid w:val="00F37E70"/>
    <w:rsid w:val="00F37F28"/>
    <w:rsid w:val="00F40936"/>
    <w:rsid w:val="00F40C88"/>
    <w:rsid w:val="00F413BA"/>
    <w:rsid w:val="00F41576"/>
    <w:rsid w:val="00F41D1F"/>
    <w:rsid w:val="00F42162"/>
    <w:rsid w:val="00F421DB"/>
    <w:rsid w:val="00F426B0"/>
    <w:rsid w:val="00F427C9"/>
    <w:rsid w:val="00F42910"/>
    <w:rsid w:val="00F42C2B"/>
    <w:rsid w:val="00F42F8B"/>
    <w:rsid w:val="00F433A2"/>
    <w:rsid w:val="00F43658"/>
    <w:rsid w:val="00F4481E"/>
    <w:rsid w:val="00F44833"/>
    <w:rsid w:val="00F453F1"/>
    <w:rsid w:val="00F45B82"/>
    <w:rsid w:val="00F46694"/>
    <w:rsid w:val="00F467B0"/>
    <w:rsid w:val="00F4683A"/>
    <w:rsid w:val="00F46BE1"/>
    <w:rsid w:val="00F46E40"/>
    <w:rsid w:val="00F46EAB"/>
    <w:rsid w:val="00F46F8B"/>
    <w:rsid w:val="00F47132"/>
    <w:rsid w:val="00F47728"/>
    <w:rsid w:val="00F4786E"/>
    <w:rsid w:val="00F47AF4"/>
    <w:rsid w:val="00F47AFE"/>
    <w:rsid w:val="00F47CBA"/>
    <w:rsid w:val="00F47CF5"/>
    <w:rsid w:val="00F47F91"/>
    <w:rsid w:val="00F50020"/>
    <w:rsid w:val="00F50572"/>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4C64"/>
    <w:rsid w:val="00F54C72"/>
    <w:rsid w:val="00F550B5"/>
    <w:rsid w:val="00F553D1"/>
    <w:rsid w:val="00F55410"/>
    <w:rsid w:val="00F558E3"/>
    <w:rsid w:val="00F55AC5"/>
    <w:rsid w:val="00F55DC4"/>
    <w:rsid w:val="00F564B4"/>
    <w:rsid w:val="00F5650C"/>
    <w:rsid w:val="00F56D31"/>
    <w:rsid w:val="00F56F50"/>
    <w:rsid w:val="00F57183"/>
    <w:rsid w:val="00F5759B"/>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C14"/>
    <w:rsid w:val="00F62FE3"/>
    <w:rsid w:val="00F63005"/>
    <w:rsid w:val="00F63289"/>
    <w:rsid w:val="00F639FA"/>
    <w:rsid w:val="00F63A49"/>
    <w:rsid w:val="00F63CD2"/>
    <w:rsid w:val="00F63F71"/>
    <w:rsid w:val="00F6433C"/>
    <w:rsid w:val="00F644EF"/>
    <w:rsid w:val="00F648A2"/>
    <w:rsid w:val="00F64928"/>
    <w:rsid w:val="00F64966"/>
    <w:rsid w:val="00F64B01"/>
    <w:rsid w:val="00F65920"/>
    <w:rsid w:val="00F65961"/>
    <w:rsid w:val="00F65E8A"/>
    <w:rsid w:val="00F65E91"/>
    <w:rsid w:val="00F660B8"/>
    <w:rsid w:val="00F6617D"/>
    <w:rsid w:val="00F664BD"/>
    <w:rsid w:val="00F66709"/>
    <w:rsid w:val="00F669E3"/>
    <w:rsid w:val="00F66AF7"/>
    <w:rsid w:val="00F66C15"/>
    <w:rsid w:val="00F672EB"/>
    <w:rsid w:val="00F6753C"/>
    <w:rsid w:val="00F67906"/>
    <w:rsid w:val="00F679D4"/>
    <w:rsid w:val="00F67A48"/>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85B"/>
    <w:rsid w:val="00F73A5B"/>
    <w:rsid w:val="00F73F43"/>
    <w:rsid w:val="00F743CE"/>
    <w:rsid w:val="00F74664"/>
    <w:rsid w:val="00F74791"/>
    <w:rsid w:val="00F747FD"/>
    <w:rsid w:val="00F74A7A"/>
    <w:rsid w:val="00F75057"/>
    <w:rsid w:val="00F75C0B"/>
    <w:rsid w:val="00F763DF"/>
    <w:rsid w:val="00F76BCF"/>
    <w:rsid w:val="00F77028"/>
    <w:rsid w:val="00F771A2"/>
    <w:rsid w:val="00F7792A"/>
    <w:rsid w:val="00F77A6F"/>
    <w:rsid w:val="00F77C47"/>
    <w:rsid w:val="00F77C4B"/>
    <w:rsid w:val="00F77CFA"/>
    <w:rsid w:val="00F802D3"/>
    <w:rsid w:val="00F80A32"/>
    <w:rsid w:val="00F80D8F"/>
    <w:rsid w:val="00F80E33"/>
    <w:rsid w:val="00F80E98"/>
    <w:rsid w:val="00F8116A"/>
    <w:rsid w:val="00F8126A"/>
    <w:rsid w:val="00F81311"/>
    <w:rsid w:val="00F81625"/>
    <w:rsid w:val="00F81A54"/>
    <w:rsid w:val="00F81B47"/>
    <w:rsid w:val="00F81B5F"/>
    <w:rsid w:val="00F81E0E"/>
    <w:rsid w:val="00F81F25"/>
    <w:rsid w:val="00F82272"/>
    <w:rsid w:val="00F825FF"/>
    <w:rsid w:val="00F82760"/>
    <w:rsid w:val="00F82956"/>
    <w:rsid w:val="00F82A7D"/>
    <w:rsid w:val="00F82D8E"/>
    <w:rsid w:val="00F83301"/>
    <w:rsid w:val="00F837DD"/>
    <w:rsid w:val="00F8468A"/>
    <w:rsid w:val="00F849D7"/>
    <w:rsid w:val="00F84A2F"/>
    <w:rsid w:val="00F84BAB"/>
    <w:rsid w:val="00F850EB"/>
    <w:rsid w:val="00F852D1"/>
    <w:rsid w:val="00F855CB"/>
    <w:rsid w:val="00F85744"/>
    <w:rsid w:val="00F86165"/>
    <w:rsid w:val="00F862CA"/>
    <w:rsid w:val="00F863EB"/>
    <w:rsid w:val="00F86621"/>
    <w:rsid w:val="00F86B20"/>
    <w:rsid w:val="00F86B3F"/>
    <w:rsid w:val="00F86C43"/>
    <w:rsid w:val="00F86E37"/>
    <w:rsid w:val="00F86F19"/>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69"/>
    <w:rsid w:val="00F92174"/>
    <w:rsid w:val="00F921D8"/>
    <w:rsid w:val="00F923DB"/>
    <w:rsid w:val="00F92725"/>
    <w:rsid w:val="00F92A1A"/>
    <w:rsid w:val="00F9357A"/>
    <w:rsid w:val="00F9360D"/>
    <w:rsid w:val="00F939E7"/>
    <w:rsid w:val="00F93A3D"/>
    <w:rsid w:val="00F93A5F"/>
    <w:rsid w:val="00F93EA8"/>
    <w:rsid w:val="00F94003"/>
    <w:rsid w:val="00F945E2"/>
    <w:rsid w:val="00F94737"/>
    <w:rsid w:val="00F9495D"/>
    <w:rsid w:val="00F95013"/>
    <w:rsid w:val="00F951BD"/>
    <w:rsid w:val="00F952AF"/>
    <w:rsid w:val="00F9590D"/>
    <w:rsid w:val="00F9632D"/>
    <w:rsid w:val="00F9635B"/>
    <w:rsid w:val="00F9644F"/>
    <w:rsid w:val="00F96479"/>
    <w:rsid w:val="00F965D9"/>
    <w:rsid w:val="00F968F1"/>
    <w:rsid w:val="00F96A48"/>
    <w:rsid w:val="00F96C7A"/>
    <w:rsid w:val="00F96E7C"/>
    <w:rsid w:val="00F975B5"/>
    <w:rsid w:val="00F97666"/>
    <w:rsid w:val="00F97F06"/>
    <w:rsid w:val="00FA0434"/>
    <w:rsid w:val="00FA0509"/>
    <w:rsid w:val="00FA0E7C"/>
    <w:rsid w:val="00FA0ED8"/>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1CD"/>
    <w:rsid w:val="00FA526F"/>
    <w:rsid w:val="00FA53C1"/>
    <w:rsid w:val="00FA5527"/>
    <w:rsid w:val="00FA558C"/>
    <w:rsid w:val="00FA5710"/>
    <w:rsid w:val="00FA5871"/>
    <w:rsid w:val="00FA589E"/>
    <w:rsid w:val="00FA5909"/>
    <w:rsid w:val="00FA5A96"/>
    <w:rsid w:val="00FA5D56"/>
    <w:rsid w:val="00FA5DF2"/>
    <w:rsid w:val="00FA6225"/>
    <w:rsid w:val="00FA656D"/>
    <w:rsid w:val="00FA65C9"/>
    <w:rsid w:val="00FA6686"/>
    <w:rsid w:val="00FA680F"/>
    <w:rsid w:val="00FA6A8C"/>
    <w:rsid w:val="00FA6E07"/>
    <w:rsid w:val="00FA76E4"/>
    <w:rsid w:val="00FA7A20"/>
    <w:rsid w:val="00FA7AA6"/>
    <w:rsid w:val="00FA7C04"/>
    <w:rsid w:val="00FB0443"/>
    <w:rsid w:val="00FB0540"/>
    <w:rsid w:val="00FB08FB"/>
    <w:rsid w:val="00FB0B15"/>
    <w:rsid w:val="00FB1309"/>
    <w:rsid w:val="00FB15D5"/>
    <w:rsid w:val="00FB1828"/>
    <w:rsid w:val="00FB18E8"/>
    <w:rsid w:val="00FB19D8"/>
    <w:rsid w:val="00FB22E5"/>
    <w:rsid w:val="00FB2864"/>
    <w:rsid w:val="00FB2F94"/>
    <w:rsid w:val="00FB36D0"/>
    <w:rsid w:val="00FB3CD6"/>
    <w:rsid w:val="00FB4065"/>
    <w:rsid w:val="00FB4760"/>
    <w:rsid w:val="00FB47B5"/>
    <w:rsid w:val="00FB4938"/>
    <w:rsid w:val="00FB4DBF"/>
    <w:rsid w:val="00FB5201"/>
    <w:rsid w:val="00FB5243"/>
    <w:rsid w:val="00FB52FD"/>
    <w:rsid w:val="00FB57A7"/>
    <w:rsid w:val="00FB5A6F"/>
    <w:rsid w:val="00FB67CA"/>
    <w:rsid w:val="00FB693F"/>
    <w:rsid w:val="00FB6A7D"/>
    <w:rsid w:val="00FB6D40"/>
    <w:rsid w:val="00FB71B7"/>
    <w:rsid w:val="00FB7284"/>
    <w:rsid w:val="00FB72CB"/>
    <w:rsid w:val="00FB77BB"/>
    <w:rsid w:val="00FB7C38"/>
    <w:rsid w:val="00FC0038"/>
    <w:rsid w:val="00FC0AB4"/>
    <w:rsid w:val="00FC0B11"/>
    <w:rsid w:val="00FC0B9B"/>
    <w:rsid w:val="00FC0E12"/>
    <w:rsid w:val="00FC1187"/>
    <w:rsid w:val="00FC1190"/>
    <w:rsid w:val="00FC1859"/>
    <w:rsid w:val="00FC18A1"/>
    <w:rsid w:val="00FC1AB5"/>
    <w:rsid w:val="00FC1E51"/>
    <w:rsid w:val="00FC22FE"/>
    <w:rsid w:val="00FC23FA"/>
    <w:rsid w:val="00FC2742"/>
    <w:rsid w:val="00FC2D75"/>
    <w:rsid w:val="00FC2F53"/>
    <w:rsid w:val="00FC338D"/>
    <w:rsid w:val="00FC37F0"/>
    <w:rsid w:val="00FC389D"/>
    <w:rsid w:val="00FC3B07"/>
    <w:rsid w:val="00FC3BBC"/>
    <w:rsid w:val="00FC3EEB"/>
    <w:rsid w:val="00FC4278"/>
    <w:rsid w:val="00FC4423"/>
    <w:rsid w:val="00FC47CD"/>
    <w:rsid w:val="00FC47D1"/>
    <w:rsid w:val="00FC4AAB"/>
    <w:rsid w:val="00FC4CA4"/>
    <w:rsid w:val="00FC4ED1"/>
    <w:rsid w:val="00FC4F3D"/>
    <w:rsid w:val="00FC5290"/>
    <w:rsid w:val="00FC545C"/>
    <w:rsid w:val="00FC553E"/>
    <w:rsid w:val="00FC65A0"/>
    <w:rsid w:val="00FC6624"/>
    <w:rsid w:val="00FC6B41"/>
    <w:rsid w:val="00FC6D8C"/>
    <w:rsid w:val="00FC6DA4"/>
    <w:rsid w:val="00FC7269"/>
    <w:rsid w:val="00FC791E"/>
    <w:rsid w:val="00FC7F93"/>
    <w:rsid w:val="00FD012B"/>
    <w:rsid w:val="00FD101B"/>
    <w:rsid w:val="00FD10D2"/>
    <w:rsid w:val="00FD1446"/>
    <w:rsid w:val="00FD235B"/>
    <w:rsid w:val="00FD2804"/>
    <w:rsid w:val="00FD282A"/>
    <w:rsid w:val="00FD2A71"/>
    <w:rsid w:val="00FD3124"/>
    <w:rsid w:val="00FD3905"/>
    <w:rsid w:val="00FD4A43"/>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0E2C"/>
    <w:rsid w:val="00FE15F5"/>
    <w:rsid w:val="00FE1728"/>
    <w:rsid w:val="00FE1B67"/>
    <w:rsid w:val="00FE1EC0"/>
    <w:rsid w:val="00FE1FA1"/>
    <w:rsid w:val="00FE22FE"/>
    <w:rsid w:val="00FE2B7B"/>
    <w:rsid w:val="00FE3100"/>
    <w:rsid w:val="00FE326E"/>
    <w:rsid w:val="00FE355F"/>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E7F8C"/>
    <w:rsid w:val="00FF00B6"/>
    <w:rsid w:val="00FF01C5"/>
    <w:rsid w:val="00FF0224"/>
    <w:rsid w:val="00FF0289"/>
    <w:rsid w:val="00FF02D6"/>
    <w:rsid w:val="00FF04D0"/>
    <w:rsid w:val="00FF0895"/>
    <w:rsid w:val="00FF0BBB"/>
    <w:rsid w:val="00FF1455"/>
    <w:rsid w:val="00FF1716"/>
    <w:rsid w:val="00FF18FC"/>
    <w:rsid w:val="00FF1920"/>
    <w:rsid w:val="00FF1ACF"/>
    <w:rsid w:val="00FF2644"/>
    <w:rsid w:val="00FF26B7"/>
    <w:rsid w:val="00FF2A88"/>
    <w:rsid w:val="00FF37C5"/>
    <w:rsid w:val="00FF3A12"/>
    <w:rsid w:val="00FF3C0B"/>
    <w:rsid w:val="00FF3CFC"/>
    <w:rsid w:val="00FF40CB"/>
    <w:rsid w:val="00FF43AF"/>
    <w:rsid w:val="00FF48E0"/>
    <w:rsid w:val="00FF4D66"/>
    <w:rsid w:val="00FF5026"/>
    <w:rsid w:val="00FF5173"/>
    <w:rsid w:val="00FF51D0"/>
    <w:rsid w:val="00FF52CC"/>
    <w:rsid w:val="00FF52E3"/>
    <w:rsid w:val="00FF550F"/>
    <w:rsid w:val="00FF5D1A"/>
    <w:rsid w:val="00FF609A"/>
    <w:rsid w:val="00FF6CF6"/>
    <w:rsid w:val="00FF70CF"/>
    <w:rsid w:val="00FF72A3"/>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105EFB"/>
    <w:pPr>
      <w:numPr>
        <w:numId w:val="6"/>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D81303"/>
    <w:rPr>
      <w:rFonts w:ascii="Times New Roman" w:hAnsi="Times New Roman"/>
      <w:b/>
      <w:bCs/>
      <w:lang w:eastAsia="en-US"/>
    </w:rPr>
  </w:style>
  <w:style w:type="numbering" w:customStyle="1" w:styleId="StyleBulleted">
    <w:name w:val="Style Bulleted"/>
    <w:rsid w:val="00CC124C"/>
    <w:pPr>
      <w:numPr>
        <w:numId w:val="8"/>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5044">
      <w:bodyDiv w:val="1"/>
      <w:marLeft w:val="0"/>
      <w:marRight w:val="0"/>
      <w:marTop w:val="0"/>
      <w:marBottom w:val="0"/>
      <w:divBdr>
        <w:top w:val="none" w:sz="0" w:space="0" w:color="auto"/>
        <w:left w:val="none" w:sz="0" w:space="0" w:color="auto"/>
        <w:bottom w:val="none" w:sz="0" w:space="0" w:color="auto"/>
        <w:right w:val="none" w:sz="0" w:space="0" w:color="auto"/>
      </w:divBdr>
      <w:divsChild>
        <w:div w:id="1661810272">
          <w:marLeft w:val="533"/>
          <w:marRight w:val="0"/>
          <w:marTop w:val="0"/>
          <w:marBottom w:val="0"/>
          <w:divBdr>
            <w:top w:val="none" w:sz="0" w:space="0" w:color="auto"/>
            <w:left w:val="none" w:sz="0" w:space="0" w:color="auto"/>
            <w:bottom w:val="none" w:sz="0" w:space="0" w:color="auto"/>
            <w:right w:val="none" w:sz="0" w:space="0" w:color="auto"/>
          </w:divBdr>
        </w:div>
        <w:div w:id="23100384">
          <w:marLeft w:val="806"/>
          <w:marRight w:val="0"/>
          <w:marTop w:val="0"/>
          <w:marBottom w:val="0"/>
          <w:divBdr>
            <w:top w:val="none" w:sz="0" w:space="0" w:color="auto"/>
            <w:left w:val="none" w:sz="0" w:space="0" w:color="auto"/>
            <w:bottom w:val="none" w:sz="0" w:space="0" w:color="auto"/>
            <w:right w:val="none" w:sz="0" w:space="0" w:color="auto"/>
          </w:divBdr>
        </w:div>
        <w:div w:id="1132674466">
          <w:marLeft w:val="533"/>
          <w:marRight w:val="0"/>
          <w:marTop w:val="0"/>
          <w:marBottom w:val="0"/>
          <w:divBdr>
            <w:top w:val="none" w:sz="0" w:space="0" w:color="auto"/>
            <w:left w:val="none" w:sz="0" w:space="0" w:color="auto"/>
            <w:bottom w:val="none" w:sz="0" w:space="0" w:color="auto"/>
            <w:right w:val="none" w:sz="0" w:space="0" w:color="auto"/>
          </w:divBdr>
        </w:div>
        <w:div w:id="516116021">
          <w:marLeft w:val="806"/>
          <w:marRight w:val="0"/>
          <w:marTop w:val="0"/>
          <w:marBottom w:val="0"/>
          <w:divBdr>
            <w:top w:val="none" w:sz="0" w:space="0" w:color="auto"/>
            <w:left w:val="none" w:sz="0" w:space="0" w:color="auto"/>
            <w:bottom w:val="none" w:sz="0" w:space="0" w:color="auto"/>
            <w:right w:val="none" w:sz="0" w:space="0" w:color="auto"/>
          </w:divBdr>
        </w:div>
        <w:div w:id="508300272">
          <w:marLeft w:val="533"/>
          <w:marRight w:val="0"/>
          <w:marTop w:val="0"/>
          <w:marBottom w:val="0"/>
          <w:divBdr>
            <w:top w:val="none" w:sz="0" w:space="0" w:color="auto"/>
            <w:left w:val="none" w:sz="0" w:space="0" w:color="auto"/>
            <w:bottom w:val="none" w:sz="0" w:space="0" w:color="auto"/>
            <w:right w:val="none" w:sz="0" w:space="0" w:color="auto"/>
          </w:divBdr>
        </w:div>
        <w:div w:id="657852283">
          <w:marLeft w:val="533"/>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8420581">
      <w:bodyDiv w:val="1"/>
      <w:marLeft w:val="0"/>
      <w:marRight w:val="0"/>
      <w:marTop w:val="0"/>
      <w:marBottom w:val="0"/>
      <w:divBdr>
        <w:top w:val="none" w:sz="0" w:space="0" w:color="auto"/>
        <w:left w:val="none" w:sz="0" w:space="0" w:color="auto"/>
        <w:bottom w:val="none" w:sz="0" w:space="0" w:color="auto"/>
        <w:right w:val="none" w:sz="0" w:space="0" w:color="auto"/>
      </w:divBdr>
      <w:divsChild>
        <w:div w:id="18555550">
          <w:marLeft w:val="533"/>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65212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443764">
      <w:bodyDiv w:val="1"/>
      <w:marLeft w:val="0"/>
      <w:marRight w:val="0"/>
      <w:marTop w:val="0"/>
      <w:marBottom w:val="0"/>
      <w:divBdr>
        <w:top w:val="none" w:sz="0" w:space="0" w:color="auto"/>
        <w:left w:val="none" w:sz="0" w:space="0" w:color="auto"/>
        <w:bottom w:val="none" w:sz="0" w:space="0" w:color="auto"/>
        <w:right w:val="none" w:sz="0" w:space="0" w:color="auto"/>
      </w:divBdr>
      <w:divsChild>
        <w:div w:id="1472214370">
          <w:marLeft w:val="0"/>
          <w:marRight w:val="75"/>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09590678">
      <w:bodyDiv w:val="1"/>
      <w:marLeft w:val="0"/>
      <w:marRight w:val="0"/>
      <w:marTop w:val="0"/>
      <w:marBottom w:val="0"/>
      <w:divBdr>
        <w:top w:val="none" w:sz="0" w:space="0" w:color="auto"/>
        <w:left w:val="none" w:sz="0" w:space="0" w:color="auto"/>
        <w:bottom w:val="none" w:sz="0" w:space="0" w:color="auto"/>
        <w:right w:val="none" w:sz="0" w:space="0" w:color="auto"/>
      </w:divBdr>
      <w:divsChild>
        <w:div w:id="299263188">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5066014">
      <w:bodyDiv w:val="1"/>
      <w:marLeft w:val="0"/>
      <w:marRight w:val="0"/>
      <w:marTop w:val="0"/>
      <w:marBottom w:val="0"/>
      <w:divBdr>
        <w:top w:val="none" w:sz="0" w:space="0" w:color="auto"/>
        <w:left w:val="none" w:sz="0" w:space="0" w:color="auto"/>
        <w:bottom w:val="none" w:sz="0" w:space="0" w:color="auto"/>
        <w:right w:val="none" w:sz="0" w:space="0" w:color="auto"/>
      </w:divBdr>
      <w:divsChild>
        <w:div w:id="1708724740">
          <w:marLeft w:val="0"/>
          <w:marRight w:val="75"/>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993784">
      <w:bodyDiv w:val="1"/>
      <w:marLeft w:val="0"/>
      <w:marRight w:val="0"/>
      <w:marTop w:val="0"/>
      <w:marBottom w:val="0"/>
      <w:divBdr>
        <w:top w:val="none" w:sz="0" w:space="0" w:color="auto"/>
        <w:left w:val="none" w:sz="0" w:space="0" w:color="auto"/>
        <w:bottom w:val="none" w:sz="0" w:space="0" w:color="auto"/>
        <w:right w:val="none" w:sz="0" w:space="0" w:color="auto"/>
      </w:divBdr>
      <w:divsChild>
        <w:div w:id="1704358822">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5471223">
      <w:bodyDiv w:val="1"/>
      <w:marLeft w:val="0"/>
      <w:marRight w:val="0"/>
      <w:marTop w:val="0"/>
      <w:marBottom w:val="0"/>
      <w:divBdr>
        <w:top w:val="none" w:sz="0" w:space="0" w:color="auto"/>
        <w:left w:val="none" w:sz="0" w:space="0" w:color="auto"/>
        <w:bottom w:val="none" w:sz="0" w:space="0" w:color="auto"/>
        <w:right w:val="none" w:sz="0" w:space="0" w:color="auto"/>
      </w:divBdr>
      <w:divsChild>
        <w:div w:id="1295716238">
          <w:marLeft w:val="806"/>
          <w:marRight w:val="0"/>
          <w:marTop w:val="0"/>
          <w:marBottom w:val="0"/>
          <w:divBdr>
            <w:top w:val="none" w:sz="0" w:space="0" w:color="auto"/>
            <w:left w:val="none" w:sz="0" w:space="0" w:color="auto"/>
            <w:bottom w:val="none" w:sz="0" w:space="0" w:color="auto"/>
            <w:right w:val="none" w:sz="0" w:space="0" w:color="auto"/>
          </w:divBdr>
        </w:div>
        <w:div w:id="2039545965">
          <w:marLeft w:val="806"/>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74178508">
      <w:bodyDiv w:val="1"/>
      <w:marLeft w:val="0"/>
      <w:marRight w:val="0"/>
      <w:marTop w:val="0"/>
      <w:marBottom w:val="0"/>
      <w:divBdr>
        <w:top w:val="none" w:sz="0" w:space="0" w:color="auto"/>
        <w:left w:val="none" w:sz="0" w:space="0" w:color="auto"/>
        <w:bottom w:val="none" w:sz="0" w:space="0" w:color="auto"/>
        <w:right w:val="none" w:sz="0" w:space="0" w:color="auto"/>
      </w:divBdr>
      <w:divsChild>
        <w:div w:id="1814374418">
          <w:marLeft w:val="533"/>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HR33RHYHUWRF-4-13428</_dlc_DocId>
    <_dlc_DocIdUrl xmlns="c06861ca-3f08-4d07-bff7-bb15bac121f4">
      <Url>https://projects.qualcomm.com/sites/pentari/_layouts/15/DocIdRedir.aspx?ID=HR33RHYHUWRF-4-13428</Url>
      <Description>HR33RHYHUWRF-4-13428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documentManagement/types"/>
    <ds:schemaRef ds:uri="c06861ca-3f08-4d07-bff7-bb15bac121f4"/>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www.w3.org/XML/1998/namespace"/>
    <ds:schemaRef ds:uri="http://purl.org/dc/dcmitype/"/>
  </ds:schemaRefs>
</ds:datastoreItem>
</file>

<file path=customXml/itemProps5.xml><?xml version="1.0" encoding="utf-8"?>
<ds:datastoreItem xmlns:ds="http://schemas.openxmlformats.org/officeDocument/2006/customXml" ds:itemID="{BC640EB8-30F0-40D5-BE12-00D257743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4291</TotalTime>
  <Pages>9</Pages>
  <Words>3970</Words>
  <Characters>20315</Characters>
  <Application>Microsoft Office Word</Application>
  <DocSecurity>0</DocSecurity>
  <Lines>169</Lines>
  <Paragraphs>48</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1401</cp:revision>
  <cp:lastPrinted>2019-02-15T23:05:00Z</cp:lastPrinted>
  <dcterms:created xsi:type="dcterms:W3CDTF">2018-12-28T19:16:00Z</dcterms:created>
  <dcterms:modified xsi:type="dcterms:W3CDTF">2019-05-04T00:38:00Z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636daeff-3ae8-43ff-acca-161d4c4c92c5</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ies>
</file>